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bCs/>
        </w:rPr>
        <w:outlineLvl w:val="1"/>
      </w:pPr>
      <w:r>
        <w:rPr>
          <w:b/>
        </w:rPr>
        <w:t xml:space="preserve">УВЕДОМЛЕНИЕ</w:t>
        <w:br w:type="textWrapping" w:clear="all"/>
        <w:t xml:space="preserve">о проведении общественного обсуждения проекта </w:t>
      </w:r>
      <w:r>
        <w:rPr>
          <w:b/>
          <w:bCs/>
        </w:rPr>
        <w:t xml:space="preserve">Программы профила</w:t>
      </w:r>
      <w:r>
        <w:rPr>
          <w:b/>
          <w:bCs/>
        </w:rPr>
        <w:t xml:space="preserve">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>
        <w:rPr>
          <w:b/>
          <w:bCs/>
        </w:rPr>
        <w:t xml:space="preserve"> отдыха детей и их оздоровления </w:t>
      </w:r>
      <w:r>
        <w:rPr>
          <w:b/>
          <w:bCs/>
        </w:rPr>
        <w:t xml:space="preserve">на 2024 год</w:t>
      </w:r>
      <w:r>
        <w:rPr>
          <w:b/>
          <w:bCs/>
        </w:rPr>
      </w:r>
      <w:r/>
    </w:p>
    <w:p>
      <w:pPr>
        <w:pStyle w:val="812"/>
        <w:jc w:val="center"/>
        <w:rPr>
          <w:bCs/>
          <w:sz w:val="24"/>
          <w:szCs w:val="24"/>
        </w:rPr>
        <w:outlineLvl w:val="1"/>
      </w:pPr>
      <w:r>
        <w:rPr>
          <w:bCs/>
          <w:sz w:val="24"/>
          <w:szCs w:val="24"/>
        </w:rPr>
      </w:r>
      <w:r/>
    </w:p>
    <w:tbl>
      <w:tblPr>
        <w:tblW w:w="9445" w:type="dxa"/>
        <w:tblCellSpacing w:w="20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6" w:space="0"/>
          <w:insideV w:val="single" w:color="000000" w:sz="6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20"/>
        <w:gridCol w:w="6625"/>
      </w:tblGrid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документа, подлежащего общественному обсуждению: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rPr>
                <w:sz w:val="24"/>
                <w:szCs w:val="24"/>
              </w:rPr>
              <w:outlineLvl w:val="1"/>
            </w:pPr>
            <w:r>
              <w:rPr>
                <w:bCs/>
                <w:sz w:val="24"/>
                <w:szCs w:val="24"/>
              </w:rPr>
              <w:t xml:space="preserve">Программа профила</w:t>
            </w:r>
            <w:r>
              <w:rPr>
                <w:bCs/>
                <w:sz w:val="24"/>
                <w:szCs w:val="24"/>
              </w:rPr>
              <w:t xml:space="preserve">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bCs/>
                <w:sz w:val="24"/>
                <w:szCs w:val="24"/>
              </w:rPr>
              <w:t xml:space="preserve"> отдыха детей и их оздоровления </w:t>
            </w:r>
            <w:r>
              <w:rPr>
                <w:bCs/>
                <w:sz w:val="24"/>
                <w:szCs w:val="24"/>
              </w:rPr>
              <w:t xml:space="preserve">на 2024 год </w:t>
            </w: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(далее – Программа профилактики)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общественного обсуждения: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общественного обсуждения: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widowControl w:val="o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проекта</w:t>
            </w:r>
            <w:r>
              <w:rPr>
                <w:sz w:val="24"/>
                <w:szCs w:val="24"/>
              </w:rPr>
              <w:t xml:space="preserve"> Программы профилактики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  <w:u w:val="single"/>
              </w:rPr>
              <w:instrText xml:space="preserve"> "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sz w:val="24"/>
                <w:szCs w:val="24"/>
                <w:u w:val="single"/>
              </w:rPr>
              <w:instrText xml:space="preserve">://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  <w:u w:val="single"/>
              </w:rPr>
              <w:instrText xml:space="preserve">-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sz w:val="24"/>
                <w:szCs w:val="24"/>
                <w:u w:val="single"/>
              </w:rPr>
              <w:instrText xml:space="preserve">.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16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816"/>
                <w:sz w:val="24"/>
                <w:szCs w:val="24"/>
              </w:rPr>
              <w:t xml:space="preserve">://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kom</w:t>
            </w:r>
            <w:bookmarkStart w:id="0" w:name="_Hlt83905133"/>
            <w:r/>
            <w:bookmarkStart w:id="1" w:name="_Hlt83905134"/>
            <w:r/>
            <w:bookmarkStart w:id="2" w:name="_Hlt83905176"/>
            <w:r>
              <w:rPr>
                <w:rStyle w:val="816"/>
                <w:sz w:val="24"/>
                <w:szCs w:val="24"/>
                <w:lang w:val="en-US"/>
              </w:rPr>
              <w:t xml:space="preserve">o</w:t>
            </w:r>
            <w:bookmarkEnd w:id="0"/>
            <w:r/>
            <w:bookmarkEnd w:id="1"/>
            <w:r/>
            <w:bookmarkEnd w:id="2"/>
            <w:r>
              <w:rPr>
                <w:rStyle w:val="816"/>
                <w:sz w:val="24"/>
                <w:szCs w:val="24"/>
                <w:lang w:val="en-US"/>
              </w:rPr>
              <w:t xml:space="preserve">br</w:t>
            </w:r>
            <w:r>
              <w:rPr>
                <w:rStyle w:val="816"/>
                <w:sz w:val="24"/>
                <w:szCs w:val="24"/>
              </w:rPr>
              <w:t xml:space="preserve">-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16"/>
                <w:sz w:val="24"/>
                <w:szCs w:val="24"/>
              </w:rPr>
              <w:t xml:space="preserve">.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  <w:u w:val="single"/>
              </w:rPr>
            </w:r>
            <w:r/>
          </w:p>
        </w:tc>
      </w:tr>
      <w:tr>
        <w:trPr>
          <w:cantSplit/>
          <w:tblCellSpacing w:w="20" w:type="dxa"/>
        </w:trPr>
        <w:tc>
          <w:tcPr>
            <w:tcW w:w="2820" w:type="auto"/>
            <w:vAlign w:val="top"/>
            <w:vMerge w:val="restart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cantSplit/>
          <w:tblCellSpacing w:w="20" w:type="dxa"/>
        </w:trPr>
        <w:tc>
          <w:tcPr>
            <w:tcW w:w="2820" w:type="auto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679016, Еврейская автономная область,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г. Биробиджан, ул. Калинина, 19</w:t>
            </w:r>
            <w:r/>
          </w:p>
        </w:tc>
      </w:tr>
      <w:tr>
        <w:trPr>
          <w:cantSplit/>
          <w:tblCellSpacing w:w="20" w:type="dxa"/>
        </w:trPr>
        <w:tc>
          <w:tcPr>
            <w:tcW w:w="2820" w:type="auto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8(42622) 2-12-17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blCellSpacing w:w="20" w:type="dxa"/>
        </w:trPr>
        <w:tc>
          <w:tcPr>
            <w:tcW w:w="2820" w:type="auto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>
              <w:rPr>
                <w:sz w:val="24"/>
                <w:szCs w:val="24"/>
              </w:rPr>
              <w:t xml:space="preserve">Фомченко Анна Юрьевна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blCellSpacing w:w="20" w:type="dxa"/>
        </w:trPr>
        <w:tc>
          <w:tcPr>
            <w:tcW w:w="2820" w:type="auto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"mailto:komobr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post.eao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16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816"/>
                <w:sz w:val="24"/>
                <w:szCs w:val="24"/>
              </w:rPr>
              <w:t xml:space="preserve">@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post.eao</w:t>
            </w:r>
            <w:r>
              <w:rPr>
                <w:rStyle w:val="816"/>
                <w:sz w:val="24"/>
                <w:szCs w:val="24"/>
              </w:rPr>
              <w:t xml:space="preserve">.</w:t>
            </w:r>
            <w:r>
              <w:rPr>
                <w:rStyle w:val="816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общественного обсуждения: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</w:t>
            </w:r>
            <w:r>
              <w:rPr>
                <w:sz w:val="24"/>
                <w:szCs w:val="24"/>
              </w:rPr>
              <w:t xml:space="preserve">ала общественного обсуждения: </w:t>
            </w:r>
            <w:r>
              <w:rPr>
                <w:sz w:val="24"/>
                <w:szCs w:val="24"/>
              </w:rPr>
              <w:t xml:space="preserve">01.10.2023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color w:val="ff0000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общественного</w:t>
            </w:r>
            <w:r>
              <w:rPr>
                <w:sz w:val="24"/>
                <w:szCs w:val="24"/>
              </w:rPr>
              <w:t xml:space="preserve"> обсуждения: 01.11.2023</w:t>
            </w:r>
            <w:r>
              <w:rPr>
                <w:sz w:val="24"/>
                <w:szCs w:val="24"/>
              </w:rPr>
              <w:t xml:space="preserve"> г.</w:t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общественного обсуждения: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проводится путем размещения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</w:t>
            </w:r>
            <w:bookmarkStart w:id="3" w:name="Par811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области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816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816"/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 октября по 1 ноября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подачи предложений и замечаний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к проекту </w:t>
            </w:r>
            <w:r>
              <w:rPr>
                <w:sz w:val="24"/>
                <w:szCs w:val="24"/>
              </w:rPr>
              <w:t xml:space="preserve">Программы профилактики </w:t>
            </w:r>
            <w:r>
              <w:rPr>
                <w:sz w:val="24"/>
                <w:szCs w:val="24"/>
              </w:rPr>
              <w:t xml:space="preserve">подаются участниками общественного обсуждения в письменной форме на указанный выше адрес электронной почты либо в печатном виде по адресу: </w:t>
            </w:r>
            <w:r>
              <w:rPr>
                <w:sz w:val="24"/>
                <w:szCs w:val="24"/>
              </w:rPr>
              <w:t xml:space="preserve">679016, Еврейская автономная область, г. Биробидж</w:t>
            </w:r>
            <w:r>
              <w:rPr>
                <w:sz w:val="24"/>
                <w:szCs w:val="24"/>
              </w:rPr>
              <w:t xml:space="preserve">ан, ул. Калинина, 19, каб. № 212</w:t>
            </w:r>
            <w:r>
              <w:rPr>
                <w:sz w:val="24"/>
                <w:szCs w:val="24"/>
              </w:rPr>
              <w:t xml:space="preserve">; понедельник - пятница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09:00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13:00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и с 14:00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18</w:t>
            </w:r>
            <w:r>
              <w:rPr>
                <w:sz w:val="24"/>
                <w:szCs w:val="24"/>
              </w:rPr>
              <w:t xml:space="preserve">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>
              <w:rPr>
                <w:sz w:val="24"/>
                <w:szCs w:val="24"/>
              </w:rPr>
              <w:t xml:space="preserve"> Программы профилактики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результатов общественного обсуждения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Поступившие предложения и замечания к проекту подлежат рассмотрению ответственным исполнителем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                                1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  <w:t xml:space="preserve"> года по 1</w:t>
            </w:r>
            <w:r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года</w:t>
            </w:r>
            <w:r/>
          </w:p>
          <w:p>
            <w:pPr>
              <w:pStyle w:val="812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общественного обсуждения </w:t>
            </w:r>
            <w:r>
              <w:rPr>
                <w:sz w:val="24"/>
                <w:szCs w:val="24"/>
              </w:rPr>
              <w:t xml:space="preserve">размещаю</w:t>
            </w:r>
            <w:r>
              <w:rPr>
                <w:sz w:val="24"/>
                <w:szCs w:val="24"/>
              </w:rPr>
              <w:t xml:space="preserve">тся на официальном сайте </w:t>
            </w:r>
            <w:r>
              <w:rPr>
                <w:sz w:val="24"/>
                <w:szCs w:val="24"/>
              </w:rPr>
              <w:t xml:space="preserve">департамента образования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-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http</w:t>
            </w:r>
            <w:r>
              <w:rPr>
                <w:rStyle w:val="816"/>
                <w:sz w:val="24"/>
                <w:szCs w:val="24"/>
                <w:u w:val="none"/>
              </w:rPr>
              <w:t xml:space="preserve">://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816"/>
                <w:sz w:val="24"/>
                <w:szCs w:val="24"/>
                <w:u w:val="none"/>
              </w:rPr>
              <w:t xml:space="preserve">-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816"/>
                <w:sz w:val="24"/>
                <w:szCs w:val="24"/>
                <w:u w:val="none"/>
              </w:rPr>
              <w:t xml:space="preserve">.</w:t>
            </w:r>
            <w:r>
              <w:rPr>
                <w:rStyle w:val="816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10 декабря 2023 года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20" w:type="dxa"/>
        </w:trPr>
        <w:tc>
          <w:tcPr>
            <w:tcW w:w="2820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проекта, </w:t>
            </w:r>
            <w:r>
              <w:rPr>
                <w:sz w:val="24"/>
                <w:szCs w:val="24"/>
              </w:rPr>
              <w:t xml:space="preserve">подлежащего общественному обсуждению</w:t>
            </w:r>
            <w:r/>
          </w:p>
        </w:tc>
        <w:tc>
          <w:tcPr>
            <w:tcW w:w="6625" w:type="auto"/>
            <w:vAlign w:val="top"/>
            <w:textDirection w:val="lrTb"/>
            <w:noWrap w:val="false"/>
          </w:tcPr>
          <w:p>
            <w:pPr>
              <w:pStyle w:val="812"/>
              <w:spacing w:before="100" w:beforeAutospacing="1" w:after="100" w:afterAutospacing="1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Прилагаетс</w:t>
            </w:r>
            <w:r>
              <w:rPr>
                <w:sz w:val="24"/>
                <w:szCs w:val="24"/>
                <w:highlight w:val="none"/>
              </w:rPr>
              <w:t xml:space="preserve">я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(</w:t>
            </w:r>
            <w:r>
              <w:rPr>
                <w:sz w:val="24"/>
                <w:szCs w:val="24"/>
                <w:highlight w:val="none"/>
              </w:rPr>
              <w:t xml:space="preserve">файл 41,6</w:t>
            </w:r>
            <w:r>
              <w:rPr>
                <w:sz w:val="24"/>
                <w:szCs w:val="24"/>
                <w:highlight w:val="none"/>
              </w:rPr>
              <w:t xml:space="preserve">КБ)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Style w:val="812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p>
      <w:pPr>
        <w:pStyle w:val="812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8"/>
      <w:szCs w:val="28"/>
      <w:lang w:val="ru-RU" w:eastAsia="ru-RU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character" w:styleId="816">
    <w:name w:val="Гиперссылка"/>
    <w:next w:val="816"/>
    <w:link w:val="812"/>
    <w:rPr>
      <w:color w:val="0000ff"/>
      <w:u w:val="single"/>
    </w:rPr>
  </w:style>
  <w:style w:type="paragraph" w:styleId="817">
    <w:name w:val=" Знак Знак Знак1 Знак Знак Знак Знак Знак Знак Знак"/>
    <w:basedOn w:val="812"/>
    <w:next w:val="817"/>
    <w:link w:val="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18">
    <w:name w:val="Normal1"/>
    <w:next w:val="818"/>
    <w:link w:val="812"/>
    <w:rPr>
      <w:sz w:val="28"/>
      <w:lang w:val="ru-RU" w:eastAsia="ru-RU" w:bidi="ar-SA"/>
    </w:rPr>
  </w:style>
  <w:style w:type="paragraph" w:styleId="819">
    <w:name w:val="Текст выноски"/>
    <w:basedOn w:val="812"/>
    <w:next w:val="819"/>
    <w:link w:val="820"/>
    <w:rPr>
      <w:rFonts w:ascii="Tahoma" w:hAnsi="Tahoma" w:cs="Tahoma"/>
      <w:sz w:val="16"/>
      <w:szCs w:val="16"/>
    </w:rPr>
  </w:style>
  <w:style w:type="character" w:styleId="820">
    <w:name w:val="Текст выноски Знак"/>
    <w:next w:val="820"/>
    <w:link w:val="819"/>
    <w:rPr>
      <w:rFonts w:ascii="Tahoma" w:hAnsi="Tahoma" w:cs="Tahoma"/>
      <w:sz w:val="16"/>
      <w:szCs w:val="16"/>
    </w:rPr>
  </w:style>
  <w:style w:type="paragraph" w:styleId="821">
    <w:name w:val="Знак Знак Знак Знак Знак Знак Знак"/>
    <w:basedOn w:val="812"/>
    <w:next w:val="821"/>
    <w:link w:val="812"/>
    <w:uiPriority w:val="99"/>
    <w:pPr>
      <w:jc w:val="right"/>
      <w:spacing w:after="160" w:line="240" w:lineRule="exact"/>
      <w:widowControl w:val="off"/>
    </w:pPr>
    <w:rPr>
      <w:rFonts w:cs="Arial"/>
      <w:sz w:val="20"/>
      <w:szCs w:val="20"/>
      <w:lang w:val="en-GB" w:eastAsia="en-US"/>
    </w:rPr>
  </w:style>
  <w:style w:type="paragraph" w:styleId="822">
    <w:name w:val="Обычный1"/>
    <w:next w:val="822"/>
    <w:link w:val="812"/>
    <w:rPr>
      <w:sz w:val="28"/>
      <w:lang w:val="ru-RU" w:eastAsia="ru-RU" w:bidi="ar-SA"/>
    </w:rPr>
  </w:style>
  <w:style w:type="paragraph" w:styleId="823">
    <w:name w:val="Обычный (веб)"/>
    <w:basedOn w:val="812"/>
    <w:next w:val="823"/>
    <w:link w:val="81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24">
    <w:name w:val="Default"/>
    <w:next w:val="824"/>
    <w:link w:val="812"/>
    <w:rPr>
      <w:color w:val="000000"/>
      <w:sz w:val="24"/>
      <w:szCs w:val="24"/>
      <w:lang w:val="ru-RU" w:eastAsia="ru-RU" w:bidi="ar-SA"/>
    </w:rPr>
  </w:style>
  <w:style w:type="character" w:styleId="825">
    <w:name w:val="Просмотренная гиперссылка"/>
    <w:next w:val="825"/>
    <w:link w:val="812"/>
    <w:rPr>
      <w:color w:val="800080"/>
      <w:u w:val="single"/>
    </w:rPr>
  </w:style>
  <w:style w:type="paragraph" w:styleId="826">
    <w:name w:val="Без интервала"/>
    <w:next w:val="826"/>
    <w:link w:val="827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827">
    <w:name w:val="Без интервала Знак"/>
    <w:next w:val="827"/>
    <w:link w:val="826"/>
    <w:uiPriority w:val="1"/>
    <w:rPr>
      <w:rFonts w:ascii="Calibri" w:hAnsi="Calibri"/>
      <w:sz w:val="22"/>
      <w:szCs w:val="22"/>
      <w:lang w:val="ru-RU" w:eastAsia="ru-RU" w:bidi="ar-SA"/>
    </w:rPr>
  </w:style>
  <w:style w:type="table" w:styleId="828">
    <w:name w:val="Веб-таблица 1"/>
    <w:basedOn w:val="814"/>
    <w:next w:val="828"/>
    <w:link w:val="812"/>
    <w:tblPr/>
  </w:style>
  <w:style w:type="table" w:styleId="829">
    <w:name w:val="Веб-таблица 2"/>
    <w:basedOn w:val="814"/>
    <w:next w:val="829"/>
    <w:link w:val="812"/>
    <w:tblPr/>
  </w:style>
  <w:style w:type="table" w:styleId="830">
    <w:name w:val="Веб-таблица 3"/>
    <w:basedOn w:val="814"/>
    <w:next w:val="830"/>
    <w:link w:val="812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Комитет образования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obr_210-1</dc:creator>
  <cp:revision>22</cp:revision>
  <dcterms:created xsi:type="dcterms:W3CDTF">2022-09-30T04:31:00Z</dcterms:created>
  <dcterms:modified xsi:type="dcterms:W3CDTF">2023-09-29T06:28:04Z</dcterms:modified>
  <cp:version>983040</cp:version>
</cp:coreProperties>
</file>