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8650" cy="718457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28650" cy="7184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50pt;height:56.57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Еврейской автономной области</w:t>
      </w: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Биробиджан 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ind w:firstLine="0"/>
        <w:jc w:val="both"/>
        <w:spacing w:after="0" w:line="264" w:lineRule="auto"/>
        <w:rPr>
          <w:rFonts w:ascii="Times New Roman" w:hAnsi="Times New Roman" w:cs="Times New Roman"/>
          <w:sz w:val="27"/>
          <w:szCs w:val="27"/>
          <w14:ligatures w14:val="none"/>
        </w:rPr>
        <w:outlineLvl w:val="0"/>
      </w:pPr>
      <w:r>
        <w:rPr>
          <w:rFonts w:ascii="Times New Roman" w:hAnsi="Times New Roman" w:cs="Times New Roman"/>
          <w:sz w:val="27"/>
          <w:szCs w:val="27"/>
        </w:rPr>
        <w:t xml:space="preserve">Об утверждении регламента реализации полномочий администратора доходов  областного бюджета по взысканию дебиторской задолженности по платежам в областной бюджет, пеням и штрафам по ним в департаменте образования Еврейской автономной области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sz w:val="27"/>
          <w:szCs w:val="27"/>
        </w:rPr>
        <w:t xml:space="preserve">Приказом</w:t>
      </w:r>
      <w:r>
        <w:rPr>
          <w:rFonts w:ascii="Times New Roman" w:hAnsi="Times New Roman" w:cs="Times New Roman"/>
          <w:sz w:val="27"/>
          <w:szCs w:val="27"/>
        </w:rPr>
        <w:t xml:space="preserve">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с </w:t>
      </w:r>
      <w:r>
        <w:rPr>
          <w:rFonts w:ascii="Times New Roman" w:hAnsi="Times New Roman" w:cs="Times New Roman"/>
          <w:sz w:val="27"/>
          <w:szCs w:val="27"/>
        </w:rPr>
        <w:t xml:space="preserve">подпунктом 1.1 пункта 1</w:t>
      </w:r>
      <w:r>
        <w:rPr>
          <w:rFonts w:ascii="Times New Roman" w:hAnsi="Times New Roman" w:cs="Times New Roman"/>
          <w:sz w:val="27"/>
          <w:szCs w:val="27"/>
        </w:rPr>
        <w:t xml:space="preserve"> Плана мероприят</w:t>
      </w:r>
      <w:r>
        <w:rPr>
          <w:rFonts w:ascii="Times New Roman" w:hAnsi="Times New Roman" w:cs="Times New Roman"/>
          <w:sz w:val="27"/>
          <w:szCs w:val="27"/>
        </w:rPr>
        <w:t xml:space="preserve">ий («дорожной карты») по взысканию дебиторской задолженности по платежам в областной бюджет, пеням и штрафам по ним на 2024 год и плановый период 2025 и 2026 годов, утвержденного распоряжением губернатора Еврейской автономной области от 27.03.2024 № 87-рг,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jc w:val="both"/>
        <w:spacing w:after="0" w:line="264" w:lineRule="auto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ПРИКАЗЫВАЮ: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1. </w:t>
      </w:r>
      <w:r>
        <w:rPr>
          <w:rFonts w:ascii="Times New Roman" w:hAnsi="Times New Roman" w:cs="Times New Roman"/>
          <w:sz w:val="27"/>
          <w:szCs w:val="27"/>
        </w:rPr>
        <w:t xml:space="preserve">Утвердить прилагаемый </w:t>
      </w:r>
      <w:r>
        <w:rPr>
          <w:rFonts w:ascii="Times New Roman" w:hAnsi="Times New Roman" w:cs="Times New Roman"/>
          <w:sz w:val="27"/>
          <w:szCs w:val="27"/>
        </w:rPr>
        <w:t xml:space="preserve">Регламент</w:t>
      </w:r>
      <w:r>
        <w:rPr>
          <w:rFonts w:ascii="Times New Roman" w:hAnsi="Times New Roman" w:cs="Times New Roman"/>
          <w:sz w:val="27"/>
          <w:szCs w:val="27"/>
        </w:rPr>
        <w:t xml:space="preserve"> реализации </w:t>
      </w:r>
      <w:r>
        <w:rPr>
          <w:rFonts w:ascii="Times New Roman" w:hAnsi="Times New Roman" w:cs="Times New Roman"/>
          <w:sz w:val="27"/>
          <w:szCs w:val="27"/>
        </w:rPr>
        <w:t xml:space="preserve">полномочий администратора доходов областного бюджета по взысканию дебиторской задолженности по платежам в областной бюджет, пеням и штрафам по ним в департаменте образования Еврейской автономной области согласно приложению к настоящему приказу.</w:t>
      </w:r>
      <w:r>
        <w:rPr>
          <w:rFonts w:ascii="Times New Roman" w:hAnsi="Times New Roman" w:cs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 w:cs="Times New Roman"/>
          <w:sz w:val="27"/>
          <w:szCs w:val="27"/>
          <w:highlight w:val="none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приказа оставляю за собой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Заместитель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начальника департамен</w:t>
      </w:r>
      <w:r>
        <w:rPr>
          <w:rFonts w:ascii="Times New Roman" w:hAnsi="Times New Roman" w:cs="Times New Roman"/>
          <w:sz w:val="27"/>
          <w:szCs w:val="27"/>
        </w:rPr>
        <w:t xml:space="preserve">та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 xml:space="preserve">М.Л. Карачун</w:t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Приложение</w:t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к приказу департамента</w:t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образования</w:t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от __________ № ______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  <w:t xml:space="preserve">Регламент 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b/>
          <w:i w:val="0"/>
          <w:strike w:val="0"/>
          <w:sz w:val="27"/>
          <w:szCs w:val="27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реализации полномочий администратора доходов  областного бюджета 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по взысканию дебиторской задолженности по платежам 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в областной бюджет, пеням и штрафам по ним 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департаменте образования Еврейской автономной области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  <w:outlineLvl w:val="1"/>
      </w:pPr>
      <w:r>
        <w:rPr>
          <w:rFonts w:ascii="Times New Roman" w:hAnsi="Times New Roman" w:cs="Times New Roman"/>
          <w:sz w:val="27"/>
          <w:szCs w:val="27"/>
        </w:rPr>
        <w:t xml:space="preserve">I. Общие положения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1. Настоящий Регламент устанавливает перечень мероприятий по реализации администратором доходов областного бюджета полномочий, направленных на взыскан</w:t>
      </w:r>
      <w:r>
        <w:rPr>
          <w:rFonts w:ascii="Times New Roman" w:hAnsi="Times New Roman" w:cs="Times New Roman"/>
          <w:sz w:val="27"/>
          <w:szCs w:val="27"/>
        </w:rPr>
        <w:t xml:space="preserve">ие дебиторской задолженности по платежам в областной бюджет, пеням и штрафам по ним ответственными должностными лицами департамента образования Еврейской автономной области (далее соответственно - Департамент, сотрудники Департамента).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2. Регламент устанавливает перечень мероприятий по реализации администратором доходов областного бюджета полномочий, направленных на взыскание дебиторской задолженности по платежам в областной бюджет, пеням и штрафам по ним.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Порядке.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4. Ответственными за проведение мероприятий по взысканию дебиторской задолженности по платежам в бюджет являются сотрудники Департамента, являющиеся администраторами доходов бюджета.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  <w:outlineLvl w:val="1"/>
      </w:pPr>
      <w:r>
        <w:rPr>
          <w:rFonts w:ascii="Times New Roman" w:hAnsi="Times New Roman" w:cs="Times New Roman"/>
          <w:sz w:val="27"/>
          <w:szCs w:val="27"/>
        </w:rPr>
        <w:t xml:space="preserve">II. Мероприятия по недопущению образования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дебиторской задолженности по доходам, выявлению факторов,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влияющих на образование дебиторской задолженности по доходам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5. Контроль за правильностью исчисления, полнотой и своевременностью осуществления платежей в областной бюджет, пеней и штрафов по ним включает в себя: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своевременное составление ответственными сотрудниками Департамента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своевременное направление в департамент финансов правительства Еврейской автономной области ответственными сотрудниками Департамента составленных первичных учетных доку</w:t>
      </w:r>
      <w:r>
        <w:rPr>
          <w:rFonts w:ascii="Times New Roman" w:hAnsi="Times New Roman" w:cs="Times New Roman"/>
          <w:sz w:val="27"/>
          <w:szCs w:val="27"/>
        </w:rPr>
        <w:t xml:space="preserve">ментов, обосновывающих возникновение дебиторской задолженности по доходам, а также поступивших в их адрес копий судебных актов, исполнительных листов и других документов для своевременного отражения содержащихся в них данных в бюджетном учете Департамента;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размещение в Государственной информационной системе о государственных и муниципальных платежах (далее - ГИС ГМП) информации, предусмотренной </w:t>
      </w:r>
      <w:r>
        <w:rPr>
          <w:rFonts w:ascii="Times New Roman" w:hAnsi="Times New Roman" w:cs="Times New Roman"/>
          <w:sz w:val="27"/>
          <w:szCs w:val="27"/>
        </w:rPr>
        <w:t xml:space="preserve">статьей 21.3</w:t>
      </w:r>
      <w:r>
        <w:rPr>
          <w:rFonts w:ascii="Times New Roman" w:hAnsi="Times New Roman" w:cs="Times New Roman"/>
          <w:sz w:val="27"/>
          <w:szCs w:val="27"/>
        </w:rPr>
        <w:t xml:space="preserve"> Федерального закона от 27 июля 2010 г. № 210-ФЗ «Об организации предоставления государственных и муниципальных услуг», необходимой для административной уплаты денежных средств физическими и ю</w:t>
      </w:r>
      <w:r>
        <w:rPr>
          <w:rFonts w:ascii="Times New Roman" w:hAnsi="Times New Roman" w:cs="Times New Roman"/>
          <w:sz w:val="27"/>
          <w:szCs w:val="27"/>
        </w:rPr>
        <w:t xml:space="preserve">ридическими лицами за государственные и муниципальные услуги, а также иных платежей, являющихся источниками формирования доходов областного бюджета, и ее размещение в Единой информационной системе в сфере закупок (далее - ЕИС) в соответствии с Федеральным </w:t>
      </w:r>
      <w:r>
        <w:rPr>
          <w:rFonts w:ascii="Times New Roman" w:hAnsi="Times New Roman" w:cs="Times New Roman"/>
          <w:sz w:val="27"/>
          <w:szCs w:val="27"/>
        </w:rPr>
        <w:t xml:space="preserve">законом</w:t>
      </w:r>
      <w:r>
        <w:rPr>
          <w:rFonts w:ascii="Times New Roman" w:hAnsi="Times New Roman" w:cs="Times New Roman"/>
          <w:sz w:val="27"/>
          <w:szCs w:val="27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начисление и списание в порядке, предусмотренном законодательством Российской Федерации, в ГИС ГМП, ЕИС сумм неустоек (штрафов, пени);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проверку фактического зачисления в доход областного бюджета платежей в размерах и в сроки, установленные законодательством Российской Федерации, договором (контрактом), постановлением о назначении административного наказания;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погашение (квитирование) начислений соответствующими платежами, являющимися источниками формирования доходов областного бюджета в ГИС ГМП;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исполнение графика платежей в связи с предоставлением отсрочки или рассрочки уплаты платежей, погашением дебиторской задолженности по доходам, образовавшейся в св</w:t>
      </w:r>
      <w:r>
        <w:rPr>
          <w:rFonts w:ascii="Times New Roman" w:hAnsi="Times New Roman" w:cs="Times New Roman"/>
          <w:sz w:val="27"/>
          <w:szCs w:val="27"/>
        </w:rPr>
        <w:t xml:space="preserve">язи с неисполнением графика уплаты платежей в областной бюджет, а также начисление процентов за предоставленную отсрочку или рассрочку и пени (штрафы) за просрочку уплаты платежей в порядке и случаях, предусмотренных законодательством Российской Федерации.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6. Ежегодно перед составлением годовой бюджетной отчетности проводится инвентаризация расчетов по доходам с должниками, включая сверку данных по доходам областного бюджета на основании информации о непогашенных начислениях, содержащейся в ГИС ГМП.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При проведении инвентаризации ответственными сотрудниками Департамента проводится оценка ожидаемых результатов работы по взысканию дебиторской задолженности по доходам, в том числе в целях признания де</w:t>
      </w:r>
      <w:r>
        <w:rPr>
          <w:rFonts w:ascii="Times New Roman" w:hAnsi="Times New Roman" w:cs="Times New Roman"/>
          <w:sz w:val="27"/>
          <w:szCs w:val="27"/>
        </w:rPr>
        <w:t xml:space="preserve">биторской задолженности по доходам сомнительной, с дальнейшим представлением информации в департамент финансов правительства Еврейской автономной области для подготовки необходимых документов для признания дебиторской задолженности безнадежной к взысканию.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7. Ответственные сотрудники Департамента проводят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наличия сведений о взыскании с должника денежных средств в рамках исполнительного производства;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наличия сведений о возбуждении в отношении должника дела о банкротстве.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  <w:outlineLvl w:val="1"/>
      </w:pPr>
      <w:r>
        <w:rPr>
          <w:rFonts w:ascii="Times New Roman" w:hAnsi="Times New Roman" w:cs="Times New Roman"/>
          <w:sz w:val="27"/>
          <w:szCs w:val="27"/>
        </w:rPr>
        <w:t xml:space="preserve">III. Мероприятия по урегулированию дебиторской задолженности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по доходам в досудебном порядке (со дня истечения срока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уплаты соответствующих платежей в областной бюджет (пеней,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штрафов) до начала работы по их принудительному взысканию)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bookmarkStart w:id="0" w:name="undefined"/>
      <w:r>
        <w:rPr>
          <w:rFonts w:ascii="Times New Roman" w:hAnsi="Times New Roman" w:cs="Times New Roman"/>
          <w:sz w:val="27"/>
          <w:szCs w:val="27"/>
        </w:rPr>
      </w:r>
      <w:bookmarkEnd w:id="0"/>
      <w:r>
        <w:rPr>
          <w:rFonts w:ascii="Times New Roman" w:hAnsi="Times New Roman" w:cs="Times New Roman"/>
          <w:sz w:val="27"/>
          <w:szCs w:val="27"/>
        </w:rPr>
        <w:t xml:space="preserve">8. При нарушении исполнения обязательств (просрочка исполнения, неисполнение, ненадлежащее исполнение об</w:t>
      </w:r>
      <w:r>
        <w:rPr>
          <w:rFonts w:ascii="Times New Roman" w:hAnsi="Times New Roman" w:cs="Times New Roman"/>
          <w:sz w:val="27"/>
          <w:szCs w:val="27"/>
        </w:rPr>
        <w:t xml:space="preserve">язательств), принятых по государственным контрактам, договорам, соглашениям, заключенным Департаментом, ответственные сотрудники Департамента осуществляют следующие мероприятия, в том числе мероприятия по взысканию дебиторской задолженности: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направление требования должнику о погашении</w:t>
      </w:r>
      <w:r>
        <w:rPr>
          <w:rFonts w:ascii="Times New Roman" w:hAnsi="Times New Roman" w:cs="Times New Roman"/>
          <w:sz w:val="27"/>
          <w:szCs w:val="27"/>
        </w:rPr>
        <w:t xml:space="preserve"> образовавшейся задолженности (в случаях, когда денежное обязательство не предусматривает срок его исполнения и не содержит условия, позволяющие определить этот срок, а равно в случаях, когда срок исполнения обязательства определен моментом востребования);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направление претензии должнику о погашении образовавшейся задолженност</w:t>
      </w:r>
      <w:r>
        <w:rPr>
          <w:rFonts w:ascii="Times New Roman" w:hAnsi="Times New Roman" w:cs="Times New Roman"/>
          <w:sz w:val="27"/>
          <w:szCs w:val="27"/>
        </w:rPr>
        <w:t xml:space="preserve">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направление требования (претензии) должнику (поставщику, подрядчику, исполнителю по государственному контракту) об уплате неустоек (штрафов, пеней);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 невыполнения должником обязательств по добровольной уплате неустоек (штрафов, пеней) по требованию (претензии) осуществляются следующие мероприятия, в том числе мероприятия по взысканию дебиторской задолженности: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при наличии в контракте, договоре условий о зачете обязательств по уплате неустойки в счет оплаты заказчик производит оплату за вычетом соответствующего размера неустоек (штрафов, пеней), указанного в первичных документах (электронных документах);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если </w:t>
      </w:r>
      <w:r>
        <w:rPr>
          <w:rFonts w:ascii="Times New Roman" w:hAnsi="Times New Roman" w:cs="Times New Roman"/>
          <w:sz w:val="27"/>
          <w:szCs w:val="27"/>
        </w:rPr>
        <w:t xml:space="preserve">обеспечение исполнения контракта осуществляется путем внесения денежных средств, департамент финансов правительства Еврейской автономной области по служебному письму Департамента вправе во внесудебном порядке обратить взыскание на сумму, равную размеру под</w:t>
      </w:r>
      <w:r>
        <w:rPr>
          <w:rFonts w:ascii="Times New Roman" w:hAnsi="Times New Roman" w:cs="Times New Roman"/>
          <w:sz w:val="27"/>
          <w:szCs w:val="27"/>
        </w:rPr>
        <w:t xml:space="preserve">лежащей уплате неустойки (штрафа, пени), которая перечисляется в федеральный бюджет, обеспечение исполнения контракта при этом возвращается подрядчику в размере, оставшемся после вычета суммы, обращенной на взыскание в счет уплаты неустойки (штрафа, пени);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если обеспечение исполнения контракта о</w:t>
      </w:r>
      <w:r>
        <w:rPr>
          <w:rFonts w:ascii="Times New Roman" w:hAnsi="Times New Roman" w:cs="Times New Roman"/>
          <w:sz w:val="27"/>
          <w:szCs w:val="27"/>
        </w:rPr>
        <w:t xml:space="preserve">существляется путем предоставления независимой гарантии, ответственные сотрудники Департамента направляют гаранту требование об осуществлении уплаты денежной суммы по независимой гарантии, равной размеру начисленной неустойки (штрафа, пени).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9. В случае невозможности взыскания неустойки способами, указанными в </w:t>
      </w:r>
      <w:r>
        <w:rPr>
          <w:rFonts w:ascii="Times New Roman" w:hAnsi="Times New Roman" w:cs="Times New Roman"/>
          <w:sz w:val="27"/>
          <w:szCs w:val="27"/>
        </w:rPr>
        <w:t xml:space="preserve">пункте 8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Регламента, и при наличии условий, удовлетворяющих требованиям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Постановления</w:t>
      </w:r>
      <w:r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4 июля 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</w:t>
      </w:r>
      <w:r>
        <w:rPr>
          <w:rFonts w:ascii="Times New Roman" w:hAnsi="Times New Roman" w:cs="Times New Roman"/>
          <w:sz w:val="27"/>
          <w:szCs w:val="27"/>
        </w:rPr>
        <w:t xml:space="preserve">адлежащим исполнением обязательств, предусмотренных контрактом», ответственные сотрудники Департамента осуществляют подготовку необходимых документов и обращение в постоянно действующую комиссию по поступлению и выбытию активов Департамента.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10. При нарушении исполнения обязательств (про</w:t>
      </w:r>
      <w:r>
        <w:rPr>
          <w:rFonts w:ascii="Times New Roman" w:hAnsi="Times New Roman" w:cs="Times New Roman"/>
          <w:sz w:val="27"/>
          <w:szCs w:val="27"/>
        </w:rPr>
        <w:t xml:space="preserve">срочка исполнения, неисполнение, ненадлежащее исполнение обязательств) по постановлениям о назначении административного наказания, принятых Департаментом, ответственные сотрудники Департамента осуществляют следующие мероприятия, в том числе: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при отсутствии документа, свидетельствующего об уплате административного штрафа, и информации об уплате административного штрафа в ГИС ГМП по истеч</w:t>
      </w:r>
      <w:r>
        <w:rPr>
          <w:rFonts w:ascii="Times New Roman" w:hAnsi="Times New Roman" w:cs="Times New Roman"/>
          <w:sz w:val="27"/>
          <w:szCs w:val="27"/>
        </w:rPr>
        <w:t xml:space="preserve">ении срока, указанного в постановлении, изготавливают второй экземпляр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законодательством, в порядке, предусмотренном </w:t>
      </w:r>
      <w:r>
        <w:rPr>
          <w:rFonts w:ascii="Times New Roman" w:hAnsi="Times New Roman" w:cs="Times New Roman"/>
          <w:sz w:val="27"/>
          <w:szCs w:val="27"/>
        </w:rPr>
        <w:t xml:space="preserve">статьей 32.2</w:t>
      </w:r>
      <w:r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- кроме того, ответственный сотрудник Департамента составляет протокол об административном правонарушении, предусмотренном </w:t>
      </w:r>
      <w:r>
        <w:rPr>
          <w:rFonts w:ascii="Times New Roman" w:hAnsi="Times New Roman" w:cs="Times New Roman"/>
          <w:sz w:val="27"/>
          <w:szCs w:val="27"/>
        </w:rPr>
        <w:t xml:space="preserve">частью 1 статьи 20.25</w:t>
      </w:r>
      <w:r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  <w:outlineLvl w:val="1"/>
      </w:pPr>
      <w:r>
        <w:rPr>
          <w:rFonts w:ascii="Times New Roman" w:hAnsi="Times New Roman" w:cs="Times New Roman"/>
          <w:sz w:val="27"/>
          <w:szCs w:val="27"/>
        </w:rPr>
        <w:t xml:space="preserve">IV. Мероприятия по принудительному взысканию дебиторской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задолженности по доходам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11. В рамках претензионной работы в случае неисполнения должником своих обязательств по погашению образовавшейся деби</w:t>
      </w:r>
      <w:r>
        <w:rPr>
          <w:rFonts w:ascii="Times New Roman" w:hAnsi="Times New Roman" w:cs="Times New Roman"/>
          <w:sz w:val="27"/>
          <w:szCs w:val="27"/>
        </w:rPr>
        <w:t xml:space="preserve">торской задолженности ответственные сотрудники Департамента готовят все необходимые документы и материалы для составления искового заявления (административного искового заявления, за</w:t>
      </w:r>
      <w:r>
        <w:rPr>
          <w:rFonts w:ascii="Times New Roman" w:hAnsi="Times New Roman" w:cs="Times New Roman"/>
          <w:sz w:val="27"/>
          <w:szCs w:val="27"/>
        </w:rPr>
        <w:t xml:space="preserve">явления, </w:t>
      </w:r>
      <w:r>
        <w:rPr>
          <w:rFonts w:ascii="Times New Roman" w:hAnsi="Times New Roman" w:cs="Times New Roman"/>
          <w:sz w:val="27"/>
          <w:szCs w:val="27"/>
        </w:rPr>
        <w:t xml:space="preserve">апелляционной, кассационной, надзорной и частной жалоб) для урегулирования споров в досудебном и судебном порядке. Отдел организационно-правовой и кадровой работы Департамента осуществляет правовую защиту интересов Департамента в судах различных инстанций.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  <w:outlineLvl w:val="1"/>
      </w:pPr>
      <w:r>
        <w:rPr>
          <w:rFonts w:ascii="Times New Roman" w:hAnsi="Times New Roman" w:cs="Times New Roman"/>
          <w:sz w:val="27"/>
          <w:szCs w:val="27"/>
        </w:rPr>
        <w:t xml:space="preserve">V. Мероприятия по взысканию просроченной дебиторской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задолженности в рамках исполнительного производства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12. В течение 10 рабочих дней со дня поступления в Департамент исполнительного документа </w:t>
      </w:r>
      <w:r>
        <w:rPr>
          <w:rFonts w:ascii="Times New Roman" w:hAnsi="Times New Roman" w:cs="Times New Roman"/>
          <w:sz w:val="27"/>
          <w:szCs w:val="27"/>
        </w:rPr>
        <w:t xml:space="preserve">отдел организационно-правовой и кадровой работы</w:t>
      </w:r>
      <w:r>
        <w:rPr>
          <w:rFonts w:ascii="Times New Roman" w:hAnsi="Times New Roman" w:cs="Times New Roman"/>
          <w:sz w:val="27"/>
          <w:szCs w:val="27"/>
        </w:rPr>
        <w:t xml:space="preserve"> Департамента направляет его для исполнения в соответствующее подра</w:t>
      </w:r>
      <w:r>
        <w:rPr>
          <w:rFonts w:ascii="Times New Roman" w:hAnsi="Times New Roman" w:cs="Times New Roman"/>
          <w:sz w:val="27"/>
          <w:szCs w:val="27"/>
        </w:rPr>
        <w:t xml:space="preserve">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13. На стадии принудительного исполнения служ</w:t>
      </w:r>
      <w:r>
        <w:rPr>
          <w:rFonts w:ascii="Times New Roman" w:hAnsi="Times New Roman" w:cs="Times New Roman"/>
          <w:sz w:val="27"/>
          <w:szCs w:val="27"/>
        </w:rPr>
        <w:t xml:space="preserve">бой судебных приставов судебных актов о взыскании просроченной дебиторской задолженности с должника </w:t>
      </w:r>
      <w:r>
        <w:rPr>
          <w:rFonts w:ascii="Times New Roman" w:hAnsi="Times New Roman" w:cs="Times New Roman"/>
          <w:sz w:val="27"/>
          <w:szCs w:val="27"/>
        </w:rPr>
        <w:t xml:space="preserve">отдел организационно-правовой и кадровой работы</w:t>
      </w:r>
      <w:r>
        <w:rPr>
          <w:rFonts w:ascii="Times New Roman" w:hAnsi="Times New Roman" w:cs="Times New Roman"/>
          <w:sz w:val="27"/>
          <w:szCs w:val="27"/>
        </w:rPr>
        <w:t xml:space="preserve"> Департамента осуществляет информационное взаимодействие со службой судебных приставов, в том числе проводит следующие мероприятия: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а)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б) в случае получения информации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в) о наличии данных, полученных от службы судебных приставов, об объявлении розыска должника, его имущества;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2)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r>
        <w:rPr>
          <w:rFonts w:ascii="Times New Roman" w:hAnsi="Times New Roman" w:cs="Times New Roman"/>
          <w:sz w:val="27"/>
          <w:szCs w:val="27"/>
        </w:rPr>
        <w:t xml:space="preserve">законом</w:t>
      </w:r>
      <w:r>
        <w:rPr>
          <w:rFonts w:ascii="Times New Roman" w:hAnsi="Times New Roman" w:cs="Times New Roman"/>
          <w:sz w:val="27"/>
          <w:szCs w:val="27"/>
        </w:rPr>
        <w:t xml:space="preserve"> от 2 октября 2007 г. № 229-ФЗ «Об исполнительном производстве»;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3) проводит мониторинг эффективности взыскания просроченной дебиторской задолженности в рамках исполнительного производства.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14.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15. Отдел бюджетного планирования и финансирования Департамента проводит мониторинг поступающих платежей в счет погашения задолженности.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  <w:outlineLvl w:val="1"/>
      </w:pPr>
      <w:r>
        <w:rPr>
          <w:rFonts w:ascii="Times New Roman" w:hAnsi="Times New Roman" w:cs="Times New Roman"/>
          <w:sz w:val="27"/>
          <w:szCs w:val="27"/>
        </w:rPr>
        <w:t xml:space="preserve">VI. Мероприятия по наблюдению за платежеспособностью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должника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16. Ответственные сотрудники Департа</w:t>
      </w:r>
      <w:r>
        <w:rPr>
          <w:rFonts w:ascii="Times New Roman" w:hAnsi="Times New Roman" w:cs="Times New Roman"/>
          <w:sz w:val="27"/>
          <w:szCs w:val="27"/>
        </w:rPr>
        <w:t xml:space="preserve">мента проводят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  <w:outlineLvl w:val="1"/>
      </w:pPr>
      <w:r>
        <w:rPr>
          <w:rFonts w:ascii="Times New Roman" w:hAnsi="Times New Roman" w:cs="Times New Roman"/>
          <w:sz w:val="27"/>
          <w:szCs w:val="27"/>
        </w:rPr>
        <w:t xml:space="preserve">VII. Перечень сотрудников Департамента,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center"/>
        <w:spacing w:after="0" w:line="264" w:lineRule="auto"/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ответственных за работу по взысканию дебиторской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задолженности по платежам в областной бюджет, пеням</w:t>
      </w:r>
      <w:r>
        <w:rPr>
          <w:rFonts w:ascii="Times New Roman" w:hAnsi="Times New Roman" w:cs="Times New Roman"/>
          <w:sz w:val="27"/>
          <w:szCs w:val="27"/>
          <w:lang w:val="ru-RU"/>
          <w14:ligatures w14:val="non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 штрафам по ним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b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1) отдел контроля и надзора в сфере образования;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2) отдел </w:t>
      </w:r>
      <w:r>
        <w:rPr>
          <w:rFonts w:ascii="Times New Roman" w:hAnsi="Times New Roman" w:cs="Times New Roman"/>
          <w:sz w:val="27"/>
          <w:szCs w:val="27"/>
        </w:rPr>
        <w:t xml:space="preserve">бюджетного планирования и финансирования</w:t>
      </w:r>
      <w:r>
        <w:rPr>
          <w:rFonts w:ascii="Times New Roman" w:hAnsi="Times New Roman" w:cs="Times New Roman"/>
          <w:sz w:val="27"/>
          <w:szCs w:val="27"/>
        </w:rPr>
        <w:t xml:space="preserve">;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ind w:firstLine="709"/>
        <w:jc w:val="both"/>
        <w:spacing w:after="0" w:line="264" w:lineRule="auto"/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7"/>
          <w:szCs w:val="27"/>
        </w:rPr>
        <w:t xml:space="preserve">3) отдел </w:t>
      </w:r>
      <w:r>
        <w:rPr>
          <w:rFonts w:ascii="Times New Roman" w:hAnsi="Times New Roman" w:cs="Times New Roman"/>
          <w:sz w:val="27"/>
          <w:szCs w:val="27"/>
        </w:rPr>
        <w:t xml:space="preserve">организационно-правовой и кадровой работы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b w:val="0"/>
          <w:i w:val="0"/>
          <w:strike w:val="0"/>
          <w:sz w:val="20"/>
          <w:szCs w:val="20"/>
          <w14:ligatures w14:val="none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830688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1"/>
    <w:link w:val="850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49"/>
    <w:next w:val="849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1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1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1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1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1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1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49"/>
    <w:next w:val="849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49"/>
    <w:next w:val="849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1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No Spacing"/>
    <w:uiPriority w:val="1"/>
    <w:qFormat/>
    <w:pPr>
      <w:spacing w:before="0" w:after="0" w:line="240" w:lineRule="auto"/>
    </w:pPr>
  </w:style>
  <w:style w:type="character" w:styleId="694">
    <w:name w:val="Title Char"/>
    <w:basedOn w:val="851"/>
    <w:link w:val="855"/>
    <w:uiPriority w:val="10"/>
    <w:rPr>
      <w:sz w:val="48"/>
      <w:szCs w:val="48"/>
    </w:rPr>
  </w:style>
  <w:style w:type="paragraph" w:styleId="695">
    <w:name w:val="Subtitle"/>
    <w:basedOn w:val="849"/>
    <w:next w:val="849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49"/>
    <w:next w:val="849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9"/>
    <w:next w:val="849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51"/>
    <w:link w:val="860"/>
    <w:uiPriority w:val="99"/>
  </w:style>
  <w:style w:type="character" w:styleId="702">
    <w:name w:val="Footer Char"/>
    <w:basedOn w:val="851"/>
    <w:link w:val="862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62"/>
    <w:uiPriority w:val="99"/>
  </w:style>
  <w:style w:type="table" w:styleId="705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1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1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</w:style>
  <w:style w:type="paragraph" w:styleId="850">
    <w:name w:val="Heading 1"/>
    <w:basedOn w:val="849"/>
    <w:next w:val="849"/>
    <w:link w:val="854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40"/>
      <w:szCs w:val="24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Заголовок 1 Знак"/>
    <w:basedOn w:val="851"/>
    <w:link w:val="850"/>
    <w:rPr>
      <w:rFonts w:ascii="Times New Roman" w:hAnsi="Times New Roman" w:eastAsia="Times New Roman" w:cs="Times New Roman"/>
      <w:sz w:val="40"/>
      <w:szCs w:val="24"/>
    </w:rPr>
  </w:style>
  <w:style w:type="paragraph" w:styleId="855">
    <w:name w:val="Title"/>
    <w:basedOn w:val="849"/>
    <w:link w:val="856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8"/>
      <w:szCs w:val="24"/>
    </w:rPr>
  </w:style>
  <w:style w:type="character" w:styleId="856" w:customStyle="1">
    <w:name w:val="Название Знак"/>
    <w:basedOn w:val="851"/>
    <w:link w:val="855"/>
    <w:rPr>
      <w:rFonts w:ascii="Times New Roman" w:hAnsi="Times New Roman" w:eastAsia="Times New Roman" w:cs="Times New Roman"/>
      <w:b/>
      <w:bCs/>
      <w:sz w:val="38"/>
      <w:szCs w:val="24"/>
    </w:rPr>
  </w:style>
  <w:style w:type="paragraph" w:styleId="857">
    <w:name w:val="Balloon Text"/>
    <w:basedOn w:val="849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851"/>
    <w:link w:val="857"/>
    <w:uiPriority w:val="99"/>
    <w:semiHidden/>
    <w:rPr>
      <w:rFonts w:ascii="Tahoma" w:hAnsi="Tahoma" w:cs="Tahoma"/>
      <w:sz w:val="16"/>
      <w:szCs w:val="16"/>
    </w:rPr>
  </w:style>
  <w:style w:type="paragraph" w:styleId="859">
    <w:name w:val="List Paragraph"/>
    <w:basedOn w:val="849"/>
    <w:uiPriority w:val="34"/>
    <w:qFormat/>
    <w:pPr>
      <w:contextualSpacing/>
      <w:ind w:left="720"/>
    </w:pPr>
  </w:style>
  <w:style w:type="paragraph" w:styleId="860">
    <w:name w:val="Header"/>
    <w:basedOn w:val="849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1"/>
    <w:link w:val="860"/>
    <w:uiPriority w:val="99"/>
  </w:style>
  <w:style w:type="paragraph" w:styleId="862">
    <w:name w:val="Footer"/>
    <w:basedOn w:val="849"/>
    <w:link w:val="86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1"/>
    <w:link w:val="86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obr_112-2</dc:creator>
  <cp:revision>13</cp:revision>
  <dcterms:created xsi:type="dcterms:W3CDTF">2022-05-27T06:23:00Z</dcterms:created>
  <dcterms:modified xsi:type="dcterms:W3CDTF">2024-07-18T00:14:14Z</dcterms:modified>
</cp:coreProperties>
</file>