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Документ предоставлен </w:t>
      </w:r>
      <w:hyperlink r:id="rId8" w:tooltip="https://www.consultant.ru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КонсультантПлюс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  <w:t xml:space="preserve">Начало действия редакции - 03.05.2024.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yellow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Зарегистрировано в Минюсте России 29 декабря 2023 г. N 76766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МИНИСТЕРСТВО ПРОСВЕЩЕНИЯ РОССИЙСКОЙ ФЕДЕРАЦИИ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N 955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ФЕДЕРАЛЬНАЯ СЛУЖБА ПО НАДЗОРУ В СФЕРЕ ОБРАЗОВАНИЯ И НАУКИ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N 2118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ПРИКАЗ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от 18 декабря 2023 года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ОБ УТВЕРЖДЕНИИ ЕДИНОГО РАСПИСАНИЯ И ПРОДОЛЖИТЕЛЬНОСТИ</w:t>
      </w: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ПРОВЕДЕНИЯ ГОСУДАРСТВЕННОГО ВЫПУСКНОГО ЭКЗАМЕНА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ПО ОБРАЗОВАТЕЛЬНЫМ ПРОГРАММАМ ОСНОВНОГО ОБЩЕГО И СРЕДНЕГО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ОБЩЕГО ОБРАЗОВАНИЯ ПО КАЖДОМУ УЧЕБНОМУ ПРЕДМЕТУ,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ТРЕБОВАНИЙ К ИСПОЛЬЗОВАНИЮ СРЕДСТВ ОБУЧЕНИЯ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ind w:left="0" w:firstLine="0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 w:val="0"/>
          <w:strike w:val="0"/>
          <w:sz w:val="28"/>
          <w:szCs w:val="28"/>
        </w:rPr>
        <w:t xml:space="preserve">И ВОСПИТАНИЯ ПРИ ЕГО ПРОВЕДЕНИИ В 2024 ГОДУ</w:t>
      </w:r>
      <w:r>
        <w:rPr>
          <w:rFonts w:ascii="Times New Roman" w:hAnsi="Times New Roman" w:cs="Times New Roman"/>
          <w:b/>
          <w:i w:val="0"/>
          <w:strike w:val="0"/>
          <w:sz w:val="28"/>
          <w:szCs w:val="28"/>
        </w:rPr>
      </w:r>
    </w:p>
    <w:p>
      <w:pPr>
        <w:jc w:val="left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(в ред. </w:t>
            </w:r>
            <w:hyperlink r:id="rId9" w:tooltip="https://login.consultant.ru/link/?req=doc&amp;base=LAW&amp;n=475007&amp;dst=100007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8"/>
                  <w:szCs w:val="28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 Минпросвещения России N 244,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  <w:t xml:space="preserve">Рособрнадзора N 803 от 12.04.2024)</w:t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i w:val="0"/>
                <w:strike w:val="0"/>
                <w:color w:val="392c69"/>
                <w:sz w:val="28"/>
                <w:szCs w:val="28"/>
              </w:rPr>
            </w:r>
          </w:p>
        </w:tc>
      </w:tr>
    </w:tbl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соответствии с </w:t>
      </w:r>
      <w:hyperlink r:id="rId10" w:tooltip="https://login.consultant.ru/link/?req=doc&amp;base=LAW&amp;n=456588&amp;dst=24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частью 5 статьи 59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Федерального закона от 29 декабря 2012 г. N 273-ФЗ "Об образовании в Российской Федерации", </w:t>
      </w:r>
      <w:hyperlink r:id="rId11" w:tooltip="https://login.consultant.ru/link/?req=doc&amp;base=LAW&amp;n=470436&amp;dst=10001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2" w:tooltip="https://login.consultant.ru/link/?req=doc&amp;base=LAW&amp;n=470436&amp;dst=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4.2.25 пункта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13" w:tooltip="https://login.consultant.ru/link/?req=doc&amp;base=LAW&amp;n=458783&amp;dst=10014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4" w:tooltip="https://login.consultant.ru/link/?req=doc&amp;base=LAW&amp;n=458783&amp;dst=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5.2.7 пункта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2024 году: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1.1. Для лиц, указанных в </w:t>
      </w:r>
      <w:hyperlink r:id="rId15" w:tooltip="https://login.consultant.ru/link/?req=doc&amp;base=LAW&amp;n=447000&amp;dst=10003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подпункте 2 пункта 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ГИА-9):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22 мая (среда) - иностранные языки (английский, испанский, немецкий, французский);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27 мая (понедельник) - биология, информатика, обществознание,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30 мая (четверг) - география, история, физика,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 июня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 июня (четверг)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 июня (понедельник) - география, информатика, обществознание;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16" w:tooltip="https://login.consultant.ru/link/?req=doc&amp;base=LAW&amp;n=475007&amp;dst=100044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14 июня (пятница) - биология, информатика, литература, физика.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1.2. Для лиц, указанных в </w:t>
      </w:r>
      <w:hyperlink r:id="rId17" w:tooltip="https://login.consultant.ru/link/?req=doc&amp;base=LAW&amp;n=447000&amp;dst=10027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42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r:id="rId18" w:tooltip="https://login.consultant.ru/link/?req=doc&amp;base=LAW&amp;n=447000&amp;dst=10028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47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19" w:tooltip="https://login.consultant.ru/link/?req=doc&amp;base=LAW&amp;n=447000&amp;dst=10049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80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ГИА-9: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 мая (понедельник)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14 мая (вторник) - информатика, литература, обществознание,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15 мая (среда) - биология, география, иностранные языки (английский, испанский, немецкий, французский), история,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16 мая (четверг)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 мая (суббота) -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24 июня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25 июня (вторник) - по всем учебным предметам (кроме русского языка и математики);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 июня (среда) - по всем учебным предметам (кроме русского языка и математики);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27 июня (четверг)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 июля (понедельник) -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 июля (вторник) - по всем учебным предметам;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 сентября (среда)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19 сентября (четверг)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20 сентября (пятница) - по всем учебным предметам (кроме русского языка и математики);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 сентября (понедельник) - по всем учебным предметам (кроме русского языка и математики);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24 сентября (вторник) - по всем учебным предметам.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1.3. Для лиц, указанных в </w:t>
      </w:r>
      <w:hyperlink r:id="rId20" w:tooltip="https://login.consultant.ru/link/?req=doc&amp;base=LAW&amp;n=447000&amp;dst=10027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43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ГИА-9: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 апреля (вторник)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 апреля (пятница)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 мая (пятница) - информатика, литература, обществознание, химия;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7 мая (вторник) - биология, география, иностранные языки (английский, испанский, немецкий, французский), история, физика.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1.4. Для лиц, указанных в </w:t>
      </w:r>
      <w:hyperlink r:id="rId21" w:tooltip="https://login.consultant.ru/link/?req=doc&amp;base=LAW&amp;n=447000&amp;dst=10049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81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ГИА-9: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 сентября (вторник)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6 сентября (пятница)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10 сентября (вторник) - биология, география, история, физика;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13 сентября (пятница) - иностранные языки (английский, испанский, немецкий, французский), информатика, литература, обществознание, химия.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2024 году: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2.1. Для лиц, указанных в </w:t>
      </w:r>
      <w:hyperlink r:id="rId22" w:tooltip="https://login.consultant.ru/link/?req=doc&amp;base=LAW&amp;n=447215&amp;dst=1000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подпункте 2 пункта 7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ГИА-11):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28 мая (вторник)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31 мая (пятница) - математика.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2.2. Для лиц, указанных в </w:t>
      </w:r>
      <w:hyperlink r:id="rId23" w:tooltip="https://login.consultant.ru/link/?req=doc&amp;base=LAW&amp;n=447215&amp;dst=100336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пунктах 49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, </w:t>
      </w:r>
      <w:hyperlink r:id="rId24" w:tooltip="https://login.consultant.ru/link/?req=doc&amp;base=LAW&amp;n=447215&amp;dst=100352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55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 </w:t>
      </w:r>
      <w:hyperlink r:id="rId25" w:tooltip="https://login.consultant.ru/link/?req=doc&amp;base=LAW&amp;n=447215&amp;dst=10060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93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ГИА-11: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15 апреля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18 апреля (четверг)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17 июня (понедельник)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26" w:tooltip="https://login.consultant.ru/link/?req=doc&amp;base=LAW&amp;n=475007&amp;dst=100046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20 июня (четверг) - математика;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(в ред. </w:t>
      </w:r>
      <w:hyperlink r:id="rId27" w:tooltip="https://login.consultant.ru/link/?req=doc&amp;base=LAW&amp;n=475007&amp;dst=100048" w:history="1">
        <w:r>
          <w:rPr>
            <w:rFonts w:ascii="Times New Roman" w:hAnsi="Times New Roman" w:eastAsia="Times New Roman" w:cs="Times New Roman"/>
            <w:b w:val="0"/>
            <w:i/>
            <w:iCs/>
            <w:strike w:val="0"/>
            <w:color w:val="0000ff"/>
            <w:sz w:val="24"/>
            <w:szCs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/>
          <w:iCs/>
          <w:strike w:val="0"/>
          <w:sz w:val="24"/>
          <w:szCs w:val="24"/>
        </w:rPr>
        <w:t xml:space="preserve"> Минпросвещения России N 244, Рособрнадзора N 803 от 12.04.2024)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23 сентября (понедельник) - математика, русский язык.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2.3. Для лиц, указанных в </w:t>
      </w:r>
      <w:hyperlink r:id="rId28" w:tooltip="https://login.consultant.ru/link/?req=doc&amp;base=LAW&amp;n=447215&amp;dst=100337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50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ГИА-11: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26 марта (вторник)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29 марта (пятница) - математика.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2.4. Для лиц, указанных в </w:t>
      </w:r>
      <w:hyperlink r:id="rId29" w:tooltip="https://login.consultant.ru/link/?req=doc&amp;base=LAW&amp;n=447215&amp;dst=10061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пункте 94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ГИА-11: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 сентября (среда) - русский язык;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9 сентября (понедельник) - математика.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 Установить, что: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3.1. ГВЭ-9 и ГВЭ-11 по всем учебным предметам начинаются в 10.00 по местному времени.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3.2. Продолжительность ГВЭ-9 и ГВЭ-11 по математике и русскому языку составляет 3 часа 55 минут (235 минут).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3.3. Продолжительность ГВЭ-9 по биологии, литера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туре и обществознанию составляет 3 часа (180 минут); по информатике, истории, физике, химии, - 2 часа 30 минут (150 минут); по географии - 2 часа (120 минут); по иностранным языкам (английский, испанский, немецкий, французский) - 1 час 30 минут (90 минут).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случае, установленном </w:t>
      </w:r>
      <w:hyperlink r:id="rId30" w:tooltip="https://login.consultant.ru/link/?req=doc&amp;base=LAW&amp;n=447000&amp;dst=10030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1 пункта 50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ГИА-9, при проведении ГВЭ-9 в устной форме продолжительность подготовки ответов на вопросы заданий контрольных измерительных материалов (далее - КИМ) по математике составляет 1 час 30 минут (90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минут); по русскому языку и литературе - 1 час (60 минут); по географии - 50 минут; по информатике - 45 минут; по обществознанию, биологии и физике - 40 минут; по иностранным языкам (английский, испанский, немецкий, французский), истории, химии - 30 минут.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3.4. В случае, установленном </w:t>
      </w:r>
      <w:hyperlink r:id="rId31" w:tooltip="https://login.consultant.ru/link/?req=doc&amp;base=LAW&amp;n=447215&amp;dst=10037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1 пункта 59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ГИА-11, при проведении ГВЭ-11 в устной форме продолжительность подготовки ответов на вопросы заданий КИМ по математике составляет 1 час 30 минут (90 минут), по русскому языку - 1 час (60 минут).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3.5. Участники ГВЭ-9 и ГВЭ-11 используют средства обучения и воспитания для выполнения заданий КИМ в аудиториях пункта проведения экзаменов.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3.6. Для выполнения заданий КИМ допускается использование участниками ГВЭ-9 следующих средств обучения и воспитания по соответствующим учебным предметам: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биологии - линейка, не содержащая справочной информации (далее - линейка);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географии - непрограммируемый кальк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линейка; географические атласы для 7 - 9 классов для решения практических заданий;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информатике - компьютерная 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литературе - полные тексты художественных произведений, а также сборники лирики;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физике - непрограммируемый калькулятор; линейка для построения графиков и схем;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случае, установленном </w:t>
      </w:r>
      <w:hyperlink r:id="rId32" w:tooltip="https://login.consultant.ru/link/?req=doc&amp;base=LAW&amp;n=447000&amp;dst=100301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1 пункта 50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ГИА-9, для выполнения заданий КИМ в устной форме допускается использование участниками ГВЭ-9 следующих средств обучения и воспитания по соответствующим учебным предметам: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географии - непрограммируемый калькулятор; географические атласы для 7 - 9 классов для решения практических заданий;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иностранным языкам (английский, испанский, немецкий, французский) - двуязычный словарь;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информатике - компьютерная 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истории - атласы по истории России для 6 - 9 классов для использования картографической информации, необходимой для выполнения заданий;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3.7. Для выполнения заданий КИМ допускается использование участниками ГВЭ-11 следующих средств обучения и воспитания по соответствующим учебным предметам: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по русскому языку - орфографический и толковый словари для установления нормативного написания слов и определения значения лексической единицы.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случае, установленном </w:t>
      </w:r>
      <w:hyperlink r:id="rId33" w:tooltip="https://login.consultant.ru/link/?req=doc&amp;base=LAW&amp;n=447215&amp;dst=100375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подпунктом 1 пункта 59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Порядка проведения ГИА-11, для выполнения заданий КИМ по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математике в устной форме допускается использование участниками ГВЭ-11 линейки для построения чертежей и рисунков; справочных материалов, содержащих основные формулы курса математики образовательной программы основного общего и среднего общего образования.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КИМ по учебным предметам.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 16 ноября 2022 г. </w:t>
      </w:r>
      <w:hyperlink r:id="rId34" w:tooltip="https://login.consultant.ru/link/?req=doc&amp;base=LAW&amp;n=45115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N 991/1145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71520);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54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от 27 июня 2023 г. </w:t>
      </w:r>
      <w:hyperlink r:id="rId35" w:tooltip="https://login.consultant.ru/link/?req=doc&amp;base=LAW&amp;n=451090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8"/>
            <w:szCs w:val="28"/>
          </w:rPr>
          <w:t xml:space="preserve">N 483/1233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"О внесении изменений в приказы Министерства просвещен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30 июня 2023 г., регистрационный N 74070).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Министр просвещения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С.С.КРАВЦОВ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Руководитель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Федеральной службы по надзору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в сфере образования и науки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  <w:t xml:space="preserve">А.А.МУЗАЕВ</w:t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p>
      <w:pPr>
        <w:ind w:left="0" w:firstLine="0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</w:rPr>
      </w:r>
      <w:r>
        <w:rPr>
          <w:rFonts w:ascii="Times New Roman" w:hAnsi="Times New Roman" w:cs="Times New Roman"/>
          <w:b w:val="0"/>
          <w:i w:val="0"/>
          <w:strike w:val="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5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65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65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65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65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66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66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284" w:default="1">
    <w:name w:val="Default Paragraph Font"/>
    <w:uiPriority w:val="1"/>
    <w:semiHidden/>
    <w:unhideWhenUsed/>
  </w:style>
  <w:style w:type="numbering" w:styleId="1285" w:default="1">
    <w:name w:val="No List"/>
    <w:uiPriority w:val="99"/>
    <w:semiHidden/>
    <w:unhideWhenUsed/>
  </w:style>
  <w:style w:type="table" w:styleId="12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5007&amp;dst=100007" TargetMode="External"/><Relationship Id="rId10" Type="http://schemas.openxmlformats.org/officeDocument/2006/relationships/hyperlink" Target="https://login.consultant.ru/link/?req=doc&amp;base=LAW&amp;n=456588&amp;dst=245" TargetMode="External"/><Relationship Id="rId11" Type="http://schemas.openxmlformats.org/officeDocument/2006/relationships/hyperlink" Target="https://login.consultant.ru/link/?req=doc&amp;base=LAW&amp;n=470436&amp;dst=100015" TargetMode="External"/><Relationship Id="rId12" Type="http://schemas.openxmlformats.org/officeDocument/2006/relationships/hyperlink" Target="https://login.consultant.ru/link/?req=doc&amp;base=LAW&amp;n=470436&amp;dst=10" TargetMode="External"/><Relationship Id="rId13" Type="http://schemas.openxmlformats.org/officeDocument/2006/relationships/hyperlink" Target="https://login.consultant.ru/link/?req=doc&amp;base=LAW&amp;n=458783&amp;dst=100142" TargetMode="External"/><Relationship Id="rId14" Type="http://schemas.openxmlformats.org/officeDocument/2006/relationships/hyperlink" Target="https://login.consultant.ru/link/?req=doc&amp;base=LAW&amp;n=458783&amp;dst=2" TargetMode="External"/><Relationship Id="rId15" Type="http://schemas.openxmlformats.org/officeDocument/2006/relationships/hyperlink" Target="https://login.consultant.ru/link/?req=doc&amp;base=LAW&amp;n=447000&amp;dst=100031" TargetMode="External"/><Relationship Id="rId16" Type="http://schemas.openxmlformats.org/officeDocument/2006/relationships/hyperlink" Target="https://login.consultant.ru/link/?req=doc&amp;base=LAW&amp;n=475007&amp;dst=100044" TargetMode="External"/><Relationship Id="rId17" Type="http://schemas.openxmlformats.org/officeDocument/2006/relationships/hyperlink" Target="https://login.consultant.ru/link/?req=doc&amp;base=LAW&amp;n=447000&amp;dst=100275" TargetMode="External"/><Relationship Id="rId18" Type="http://schemas.openxmlformats.org/officeDocument/2006/relationships/hyperlink" Target="https://login.consultant.ru/link/?req=doc&amp;base=LAW&amp;n=447000&amp;dst=100283" TargetMode="External"/><Relationship Id="rId19" Type="http://schemas.openxmlformats.org/officeDocument/2006/relationships/hyperlink" Target="https://login.consultant.ru/link/?req=doc&amp;base=LAW&amp;n=447000&amp;dst=100492" TargetMode="External"/><Relationship Id="rId20" Type="http://schemas.openxmlformats.org/officeDocument/2006/relationships/hyperlink" Target="https://login.consultant.ru/link/?req=doc&amp;base=LAW&amp;n=447000&amp;dst=100276" TargetMode="External"/><Relationship Id="rId21" Type="http://schemas.openxmlformats.org/officeDocument/2006/relationships/hyperlink" Target="https://login.consultant.ru/link/?req=doc&amp;base=LAW&amp;n=447000&amp;dst=100496" TargetMode="External"/><Relationship Id="rId22" Type="http://schemas.openxmlformats.org/officeDocument/2006/relationships/hyperlink" Target="https://login.consultant.ru/link/?req=doc&amp;base=LAW&amp;n=447215&amp;dst=100034" TargetMode="External"/><Relationship Id="rId23" Type="http://schemas.openxmlformats.org/officeDocument/2006/relationships/hyperlink" Target="https://login.consultant.ru/link/?req=doc&amp;base=LAW&amp;n=447215&amp;dst=100336" TargetMode="External"/><Relationship Id="rId24" Type="http://schemas.openxmlformats.org/officeDocument/2006/relationships/hyperlink" Target="https://login.consultant.ru/link/?req=doc&amp;base=LAW&amp;n=447215&amp;dst=100352" TargetMode="External"/><Relationship Id="rId25" Type="http://schemas.openxmlformats.org/officeDocument/2006/relationships/hyperlink" Target="https://login.consultant.ru/link/?req=doc&amp;base=LAW&amp;n=447215&amp;dst=100601" TargetMode="External"/><Relationship Id="rId26" Type="http://schemas.openxmlformats.org/officeDocument/2006/relationships/hyperlink" Target="https://login.consultant.ru/link/?req=doc&amp;base=LAW&amp;n=475007&amp;dst=100046" TargetMode="External"/><Relationship Id="rId27" Type="http://schemas.openxmlformats.org/officeDocument/2006/relationships/hyperlink" Target="https://login.consultant.ru/link/?req=doc&amp;base=LAW&amp;n=475007&amp;dst=100048" TargetMode="External"/><Relationship Id="rId28" Type="http://schemas.openxmlformats.org/officeDocument/2006/relationships/hyperlink" Target="https://login.consultant.ru/link/?req=doc&amp;base=LAW&amp;n=447215&amp;dst=100337" TargetMode="External"/><Relationship Id="rId29" Type="http://schemas.openxmlformats.org/officeDocument/2006/relationships/hyperlink" Target="https://login.consultant.ru/link/?req=doc&amp;base=LAW&amp;n=447215&amp;dst=100610" TargetMode="External"/><Relationship Id="rId30" Type="http://schemas.openxmlformats.org/officeDocument/2006/relationships/hyperlink" Target="https://login.consultant.ru/link/?req=doc&amp;base=LAW&amp;n=447000&amp;dst=100301" TargetMode="External"/><Relationship Id="rId31" Type="http://schemas.openxmlformats.org/officeDocument/2006/relationships/hyperlink" Target="https://login.consultant.ru/link/?req=doc&amp;base=LAW&amp;n=447215&amp;dst=100375" TargetMode="External"/><Relationship Id="rId32" Type="http://schemas.openxmlformats.org/officeDocument/2006/relationships/hyperlink" Target="https://login.consultant.ru/link/?req=doc&amp;base=LAW&amp;n=447000&amp;dst=100301" TargetMode="External"/><Relationship Id="rId33" Type="http://schemas.openxmlformats.org/officeDocument/2006/relationships/hyperlink" Target="https://login.consultant.ru/link/?req=doc&amp;base=LAW&amp;n=447215&amp;dst=100375" TargetMode="External"/><Relationship Id="rId34" Type="http://schemas.openxmlformats.org/officeDocument/2006/relationships/hyperlink" Target="https://login.consultant.ru/link/?req=doc&amp;base=LAW&amp;n=451150" TargetMode="External"/><Relationship Id="rId35" Type="http://schemas.openxmlformats.org/officeDocument/2006/relationships/hyperlink" Target="https://login.consultant.ru/link/?req=doc&amp;base=LAW&amp;n=45109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955, Рособрнадзора N 2118 от 18.12.2023(ред. от 12.04.2024)&amp;quot;Об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году&amp;quot;(Зарегистрировано в Минюсте России 29.12.2023 N 76766)</dc:title>
  <dc:creator/>
  <cp:revision>1</cp:revision>
  <dcterms:modified xsi:type="dcterms:W3CDTF">2024-04-24T02:27:11Z</dcterms:modified>
</cp:coreProperties>
</file>