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3504" cy="68580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350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52pt;height:54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909"/>
        <w:ind w:firstLine="0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909"/>
        <w:ind w:firstLine="0"/>
        <w:rPr>
          <w:sz w:val="28"/>
        </w:rPr>
      </w:pPr>
      <w:r>
        <w:rPr>
          <w:sz w:val="28"/>
        </w:rPr>
        <w:t xml:space="preserve">КОМИТЕТ ОБРАЗОВАНИЯ</w:t>
      </w:r>
      <w:r>
        <w:rPr>
          <w:sz w:val="28"/>
        </w:rPr>
      </w:r>
      <w:r>
        <w:rPr>
          <w:sz w:val="28"/>
        </w:rPr>
      </w:r>
    </w:p>
    <w:p>
      <w:pPr>
        <w:pStyle w:val="909"/>
        <w:ind w:firstLine="0"/>
        <w:rPr>
          <w:caps/>
          <w:sz w:val="28"/>
        </w:rPr>
      </w:pPr>
      <w:r>
        <w:rPr>
          <w:caps/>
          <w:sz w:val="28"/>
        </w:rPr>
        <w:t xml:space="preserve">Еврейской автономной области</w:t>
      </w:r>
      <w:r>
        <w:rPr>
          <w:caps/>
          <w:sz w:val="28"/>
        </w:rPr>
      </w:r>
      <w:r>
        <w:rPr>
          <w:caps/>
          <w:sz w:val="28"/>
        </w:rPr>
      </w:r>
    </w:p>
    <w:p>
      <w:pPr>
        <w:pStyle w:val="899"/>
        <w:ind w:firstLine="0"/>
        <w:jc w:val="center"/>
      </w:pPr>
      <w:r/>
      <w:r/>
    </w:p>
    <w:p>
      <w:pPr>
        <w:pStyle w:val="900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ПРИКАЗ</w:t>
      </w: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pStyle w:val="899"/>
        <w:ind w:firstLine="0"/>
      </w:pPr>
      <w:r>
        <w:rPr>
          <w:lang w:val="en-US"/>
        </w:rPr>
        <w:t xml:space="preserve">__________</w:t>
      </w:r>
      <w:r>
        <w:t xml:space="preserve">                                                                                      </w:t>
      </w:r>
      <w:r>
        <w:t xml:space="preserve">       </w:t>
      </w:r>
      <w:r>
        <w:t xml:space="preserve">       </w:t>
      </w:r>
      <w:r>
        <w:t xml:space="preserve"> </w:t>
      </w:r>
      <w:r>
        <w:t xml:space="preserve">№</w:t>
      </w:r>
      <w:r>
        <w:t xml:space="preserve"> </w:t>
      </w:r>
      <w:r>
        <w:rPr>
          <w:lang w:val="en-US"/>
        </w:rPr>
        <w:t xml:space="preserve">___</w:t>
      </w:r>
      <w:r/>
    </w:p>
    <w:p>
      <w:pPr>
        <w:pStyle w:val="899"/>
        <w:ind w:firstLine="0"/>
        <w:jc w:val="center"/>
      </w:pPr>
      <w:r/>
      <w:r/>
    </w:p>
    <w:p>
      <w:pPr>
        <w:pStyle w:val="899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г. Биробиджан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99"/>
        <w:ind w:firstLine="0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899"/>
        <w:ind w:firstLine="0"/>
      </w:pPr>
      <w:r>
        <w:t xml:space="preserve">О</w:t>
      </w:r>
      <w:r>
        <w:t xml:space="preserve"> внесении </w:t>
      </w:r>
      <w:r>
        <w:t xml:space="preserve">изменений в</w:t>
      </w:r>
      <w:r>
        <w:t xml:space="preserve"> приказ комитета образования Еврейской автономной области от 31.01.2014 № 43</w:t>
      </w:r>
      <w:r>
        <w:t xml:space="preserve"> «О порядке осуществления выплат стимулирующего характера руководителям областных государственных учреждений, функции и полномочия учредителя которых осуществляет комитет образования Еврейской автономной области»</w:t>
      </w:r>
      <w:r/>
    </w:p>
    <w:p>
      <w:pPr>
        <w:pStyle w:val="899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899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899"/>
        <w:ind w:firstLine="0"/>
      </w:pPr>
      <w:r>
        <w:t xml:space="preserve">ПРИКАЗЫВАЮ:</w:t>
      </w:r>
      <w:r/>
    </w:p>
    <w:p>
      <w:pPr>
        <w:pStyle w:val="899"/>
        <w:ind w:left="0" w:right="0" w:firstLine="709"/>
        <w:suppressLineNumbers w:val="0"/>
      </w:pPr>
      <w:r>
        <w:t xml:space="preserve">1. На основании </w:t>
      </w:r>
      <w:r>
        <w:t xml:space="preserve">постановления правительства Еврейской автономной области  от 29.12.2020 № 558-пп «О переименовании комитета образования Еврейской автономной области в департамент образования Еврейской автономной области»</w:t>
      </w:r>
      <w:r>
        <w:t xml:space="preserve"> внести </w:t>
      </w:r>
      <w:r>
        <w:t xml:space="preserve">в</w:t>
      </w:r>
      <w:r>
        <w:t xml:space="preserve"> приказ комитета образования Евр</w:t>
      </w:r>
      <w:r>
        <w:t xml:space="preserve">ейской автономной области от 31.01.2014 № 43 «О порядке осуществления выплат стимулирующего характера руководителям областных государственных учреждений, функции и полномочия учредителя которых осуществляет комитет образования Еврейской автономной области»</w:t>
      </w:r>
      <w:r>
        <w:t xml:space="preserve"> </w:t>
      </w:r>
      <w:r>
        <w:t xml:space="preserve">следующ</w:t>
      </w:r>
      <w:r>
        <w:t xml:space="preserve">ие</w:t>
      </w:r>
      <w:r>
        <w:t xml:space="preserve"> </w:t>
      </w:r>
      <w:r>
        <w:t xml:space="preserve">изменения</w:t>
      </w:r>
      <w:r>
        <w:t xml:space="preserve">:</w:t>
      </w:r>
      <w:r/>
    </w:p>
    <w:p>
      <w:pPr>
        <w:pStyle w:val="899"/>
        <w:ind w:left="0" w:firstLine="720"/>
        <w:tabs>
          <w:tab w:val="left" w:pos="1418" w:leader="none"/>
        </w:tabs>
        <w:suppressLineNumbers w:val="0"/>
      </w:pPr>
      <w:r>
        <w:t xml:space="preserve">1.1. слово «комитет» </w:t>
      </w:r>
      <w:r>
        <w:t xml:space="preserve">в соответствующих падежах заменить</w:t>
      </w:r>
      <w:r>
        <w:t xml:space="preserve"> словом «департамент» </w:t>
      </w:r>
      <w:r>
        <w:t xml:space="preserve">в соответствующих падежах</w:t>
      </w:r>
      <w:r>
        <w:t xml:space="preserve">.</w:t>
      </w:r>
      <w:r/>
    </w:p>
    <w:p>
      <w:pPr>
        <w:pStyle w:val="899"/>
      </w:pPr>
      <w:r>
        <w:t xml:space="preserve">2. </w:t>
      </w:r>
      <w:r>
        <w:rPr>
          <w:rFonts w:ascii="Times New Roman" w:hAnsi="Times New Roman"/>
          <w:sz w:val="28"/>
          <w:szCs w:val="28"/>
        </w:rPr>
        <w:t xml:space="preserve">Настоящий приказ вступает в силу со дня его подписания</w:t>
      </w:r>
      <w:r>
        <w:t xml:space="preserve">. </w:t>
      </w:r>
      <w:r/>
    </w:p>
    <w:p>
      <w:pPr>
        <w:pStyle w:val="899"/>
      </w:pPr>
      <w:r/>
      <w:r/>
    </w:p>
    <w:p>
      <w:pPr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899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1_784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Заместитель начальника департамента                                            М.Л. Карачун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99"/>
        <w:ind w:firstLine="0"/>
        <w:widowControl w:val="off"/>
        <w:tabs>
          <w:tab w:val="left" w:pos="8520" w:leader="none"/>
          <w:tab w:val="left" w:pos="8662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021" w:right="851" w:bottom="102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  <w:rPr>
        <w:sz w:val="22"/>
        <w:szCs w:val="22"/>
      </w:rPr>
    </w:pPr>
    <w:r>
      <w:rPr>
        <w:sz w:val="22"/>
        <w:szCs w:val="22"/>
      </w:rPr>
    </w:r>
    <w:r>
      <w:rPr>
        <w:sz w:val="22"/>
        <w:szCs w:val="22"/>
      </w:rPr>
    </w:r>
    <w:r>
      <w:rPr>
        <w:sz w:val="22"/>
        <w:szCs w:val="2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48" w:hanging="648"/>
      </w:pPr>
    </w:lvl>
    <w:lvl w:ilvl="1">
      <w:start w:val="1"/>
      <w:numFmt w:val="decimal"/>
      <w:isLgl w:val="false"/>
      <w:suff w:val="tab"/>
      <w:lvlText w:val="%1.%2"/>
      <w:lvlJc w:val="left"/>
      <w:pPr>
        <w:ind w:left="828" w:hanging="648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6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3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52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0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60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09" w:hanging="120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8" w:hanging="990"/>
      </w:pPr>
    </w:lvl>
    <w:lvl w:ilvl="1">
      <w:start w:val="1"/>
      <w:numFmt w:val="decimal"/>
      <w:isLgl w:val="false"/>
      <w:suff w:val="tab"/>
      <w:lvlText w:val="%1.%2"/>
      <w:lvlJc w:val="left"/>
      <w:pPr>
        <w:ind w:left="1141" w:hanging="432"/>
      </w:pPr>
    </w:lvl>
    <w:lvl w:ilvl="2">
      <w:start w:val="1"/>
      <w:numFmt w:val="decimal"/>
      <w:isLgl w:val="false"/>
      <w:suff w:val="tab"/>
      <w:lvlText w:val="%1.%2.%3"/>
      <w:lvlJc w:val="left"/>
      <w:pPr>
        <w:ind w:left="157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071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713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5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35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496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8" w:hanging="990"/>
      </w:pPr>
    </w:lvl>
    <w:lvl w:ilvl="1">
      <w:start w:val="1"/>
      <w:numFmt w:val="decimal"/>
      <w:isLgl w:val="false"/>
      <w:suff w:val="tab"/>
      <w:lvlText w:val="%1.%2"/>
      <w:lvlJc w:val="left"/>
      <w:pPr>
        <w:ind w:left="1141" w:hanging="432"/>
      </w:pPr>
    </w:lvl>
    <w:lvl w:ilvl="2">
      <w:start w:val="1"/>
      <w:numFmt w:val="decimal"/>
      <w:isLgl w:val="false"/>
      <w:suff w:val="tab"/>
      <w:lvlText w:val="%1.%2.%3"/>
      <w:lvlJc w:val="left"/>
      <w:pPr>
        <w:ind w:left="157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071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713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5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35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496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4" w:hanging="121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2"/>
      <w:numFmt w:val="decimal"/>
      <w:isLgl w:val="false"/>
      <w:suff w:val="tab"/>
      <w:lvlText w:val="%1.%2.%3.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4" w:hanging="118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78" w:hanging="990"/>
      </w:pPr>
    </w:lvl>
    <w:lvl w:ilvl="1">
      <w:start w:val="1"/>
      <w:numFmt w:val="decimal"/>
      <w:isLgl w:val="false"/>
      <w:suff w:val="tab"/>
      <w:lvlText w:val="%1.%2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"/>
      <w:lvlJc w:val="left"/>
      <w:pPr>
        <w:ind w:left="229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791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93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433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57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07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216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0" w:firstLine="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18" w:hanging="990"/>
      </w:pPr>
    </w:lvl>
    <w:lvl w:ilvl="1">
      <w:start w:val="1"/>
      <w:numFmt w:val="decimal"/>
      <w:isLgl w:val="false"/>
      <w:suff w:val="tab"/>
      <w:lvlText w:val="%1.%2"/>
      <w:lvlJc w:val="left"/>
      <w:pPr>
        <w:ind w:left="3301" w:hanging="432"/>
      </w:pPr>
    </w:lvl>
    <w:lvl w:ilvl="2">
      <w:start w:val="1"/>
      <w:numFmt w:val="decimal"/>
      <w:isLgl w:val="false"/>
      <w:suff w:val="tab"/>
      <w:lvlText w:val="%1.%2.%3"/>
      <w:lvlJc w:val="left"/>
      <w:pPr>
        <w:ind w:left="373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231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437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873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01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1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656" w:hanging="180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15"/>
  </w:num>
  <w:num w:numId="5">
    <w:abstractNumId w:val="26"/>
  </w:num>
  <w:num w:numId="6">
    <w:abstractNumId w:val="14"/>
  </w:num>
  <w:num w:numId="7">
    <w:abstractNumId w:val="25"/>
  </w:num>
  <w:num w:numId="8">
    <w:abstractNumId w:val="1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17"/>
  </w:num>
  <w:num w:numId="15">
    <w:abstractNumId w:val="24"/>
  </w:num>
  <w:num w:numId="16">
    <w:abstractNumId w:val="18"/>
  </w:num>
  <w:num w:numId="17">
    <w:abstractNumId w:val="10"/>
  </w:num>
  <w:num w:numId="18">
    <w:abstractNumId w:val="7"/>
  </w:num>
  <w:num w:numId="19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>
          <w:ind w:left="1558" w:hanging="990"/>
        </w:pPr>
      </w:lvl>
    </w:lvlOverride>
    <w:lvlOverride w:ilvl="1">
      <w:lvl w:ilvl="1">
        <w:start w:val="1"/>
        <w:numFmt w:val="decimal"/>
        <w:isLgl w:val="false"/>
        <w:suff w:val="tab"/>
        <w:lvlText w:val="%1.%2"/>
        <w:lvlJc w:val="left"/>
        <w:pPr>
          <w:ind w:left="567" w:firstLine="142"/>
        </w:pPr>
      </w:lvl>
    </w:lvlOverride>
    <w:lvlOverride w:ilvl="2">
      <w:lvl w:ilvl="2">
        <w:start w:val="1"/>
        <w:numFmt w:val="decimal"/>
        <w:isLgl w:val="false"/>
        <w:suff w:val="tab"/>
        <w:lvlText w:val="%1.%2.%3"/>
        <w:lvlJc w:val="left"/>
        <w:pPr>
          <w:ind w:left="1570" w:hanging="720"/>
        </w:pPr>
      </w:lvl>
    </w:lvlOverride>
    <w:lvlOverride w:ilvl="3">
      <w:lvl w:ilvl="3">
        <w:start w:val="1"/>
        <w:numFmt w:val="decimal"/>
        <w:isLgl w:val="false"/>
        <w:suff w:val="tab"/>
        <w:lvlText w:val="%1.%2.%3.%4"/>
        <w:lvlJc w:val="left"/>
        <w:pPr>
          <w:ind w:left="2071" w:hanging="1080"/>
        </w:pPr>
      </w:lvl>
    </w:lvlOverride>
    <w:lvlOverride w:ilvl="4">
      <w:lvl w:ilvl="4">
        <w:start w:val="1"/>
        <w:numFmt w:val="decimal"/>
        <w:isLgl w:val="false"/>
        <w:suff w:val="tab"/>
        <w:lvlText w:val="%1.%2.%3.%4.%5"/>
        <w:lvlJc w:val="left"/>
        <w:pPr>
          <w:ind w:left="2212" w:hanging="1080"/>
        </w:pPr>
      </w:lvl>
    </w:lvlOverride>
    <w:lvlOverride w:ilvl="5">
      <w:lvl w:ilvl="5">
        <w:start w:val="1"/>
        <w:numFmt w:val="decimal"/>
        <w:isLgl w:val="false"/>
        <w:suff w:val="tab"/>
        <w:lvlText w:val="%1.%2.%3.%4.%5.%6"/>
        <w:lvlJc w:val="left"/>
        <w:pPr>
          <w:ind w:left="2713" w:hanging="1440"/>
        </w:pPr>
      </w:lvl>
    </w:lvlOverride>
    <w:lvlOverride w:ilvl="6">
      <w:lvl w:ilvl="6">
        <w:start w:val="1"/>
        <w:numFmt w:val="decimal"/>
        <w:isLgl w:val="false"/>
        <w:suff w:val="tab"/>
        <w:lvlText w:val="%1.%2.%3.%4.%5.%6.%7"/>
        <w:lvlJc w:val="left"/>
        <w:pPr>
          <w:ind w:left="2854" w:hanging="1440"/>
        </w:pPr>
      </w:lvl>
    </w:lvlOverride>
    <w:lvlOverride w:ilvl="7">
      <w:lvl w:ilvl="7">
        <w:start w:val="1"/>
        <w:numFmt w:val="decimal"/>
        <w:isLgl w:val="false"/>
        <w:suff w:val="tab"/>
        <w:lvlText w:val="%1.%2.%3.%4.%5.%6.%7.%8"/>
        <w:lvlJc w:val="left"/>
        <w:pPr>
          <w:ind w:left="3355" w:hanging="1800"/>
        </w:pPr>
      </w:lvl>
    </w:lvlOverride>
    <w:lvlOverride w:ilvl="8">
      <w:lvl w:ilvl="8">
        <w:start w:val="1"/>
        <w:numFmt w:val="decimal"/>
        <w:isLgl w:val="false"/>
        <w:suff w:val="tab"/>
        <w:lvlText w:val="%1.%2.%3.%4.%5.%6.%7.%8.%9"/>
        <w:lvlJc w:val="left"/>
        <w:pPr>
          <w:ind w:left="3496" w:hanging="1800"/>
        </w:pPr>
      </w:lvl>
    </w:lvlOverride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>
          <w:ind w:left="1558" w:hanging="990"/>
        </w:pPr>
      </w:lvl>
    </w:lvlOverride>
    <w:lvlOverride w:ilvl="1">
      <w:lvl w:ilvl="1">
        <w:start w:val="1"/>
        <w:numFmt w:val="decimal"/>
        <w:isLgl w:val="false"/>
        <w:suff w:val="tab"/>
        <w:lvlText w:val="%1.%2"/>
        <w:lvlJc w:val="left"/>
        <w:pPr>
          <w:ind w:left="0" w:firstLine="709"/>
        </w:pPr>
      </w:lvl>
    </w:lvlOverride>
    <w:lvlOverride w:ilvl="2">
      <w:lvl w:ilvl="2">
        <w:start w:val="1"/>
        <w:numFmt w:val="decimal"/>
        <w:isLgl w:val="false"/>
        <w:suff w:val="tab"/>
        <w:lvlText w:val="%1.%2.%3"/>
        <w:lvlJc w:val="left"/>
        <w:pPr>
          <w:ind w:left="1570" w:hanging="720"/>
        </w:pPr>
      </w:lvl>
    </w:lvlOverride>
    <w:lvlOverride w:ilvl="3">
      <w:lvl w:ilvl="3">
        <w:start w:val="1"/>
        <w:numFmt w:val="decimal"/>
        <w:isLgl w:val="false"/>
        <w:suff w:val="tab"/>
        <w:lvlText w:val="%1.%2.%3.%4"/>
        <w:lvlJc w:val="left"/>
        <w:pPr>
          <w:ind w:left="2071" w:hanging="1080"/>
        </w:pPr>
      </w:lvl>
    </w:lvlOverride>
    <w:lvlOverride w:ilvl="4">
      <w:lvl w:ilvl="4">
        <w:start w:val="1"/>
        <w:numFmt w:val="decimal"/>
        <w:isLgl w:val="false"/>
        <w:suff w:val="tab"/>
        <w:lvlText w:val="%1.%2.%3.%4.%5"/>
        <w:lvlJc w:val="left"/>
        <w:pPr>
          <w:ind w:left="2212" w:hanging="1080"/>
        </w:pPr>
      </w:lvl>
    </w:lvlOverride>
    <w:lvlOverride w:ilvl="5">
      <w:lvl w:ilvl="5">
        <w:start w:val="1"/>
        <w:numFmt w:val="decimal"/>
        <w:isLgl w:val="false"/>
        <w:suff w:val="tab"/>
        <w:lvlText w:val="%1.%2.%3.%4.%5.%6"/>
        <w:lvlJc w:val="left"/>
        <w:pPr>
          <w:ind w:left="2713" w:hanging="1440"/>
        </w:pPr>
      </w:lvl>
    </w:lvlOverride>
    <w:lvlOverride w:ilvl="6">
      <w:lvl w:ilvl="6">
        <w:start w:val="1"/>
        <w:numFmt w:val="decimal"/>
        <w:isLgl w:val="false"/>
        <w:suff w:val="tab"/>
        <w:lvlText w:val="%1.%2.%3.%4.%5.%6.%7"/>
        <w:lvlJc w:val="left"/>
        <w:pPr>
          <w:ind w:left="2854" w:hanging="1440"/>
        </w:pPr>
      </w:lvl>
    </w:lvlOverride>
    <w:lvlOverride w:ilvl="7">
      <w:lvl w:ilvl="7">
        <w:start w:val="1"/>
        <w:numFmt w:val="decimal"/>
        <w:isLgl w:val="false"/>
        <w:suff w:val="tab"/>
        <w:lvlText w:val="%1.%2.%3.%4.%5.%6.%7.%8"/>
        <w:lvlJc w:val="left"/>
        <w:pPr>
          <w:ind w:left="3355" w:hanging="1800"/>
        </w:pPr>
      </w:lvl>
    </w:lvlOverride>
    <w:lvlOverride w:ilvl="8">
      <w:lvl w:ilvl="8">
        <w:start w:val="1"/>
        <w:numFmt w:val="decimal"/>
        <w:isLgl w:val="false"/>
        <w:suff w:val="tab"/>
        <w:lvlText w:val="%1.%2.%3.%4.%5.%6.%7.%8.%9"/>
        <w:lvlJc w:val="left"/>
        <w:pPr>
          <w:ind w:left="3496" w:hanging="1800"/>
        </w:pPr>
      </w:lvl>
    </w:lvlOverride>
  </w:num>
  <w:num w:numId="21">
    <w:abstractNumId w:val="9"/>
  </w:num>
  <w:num w:numId="22">
    <w:abstractNumId w:val="5"/>
  </w:num>
  <w:num w:numId="23">
    <w:abstractNumId w:val="3"/>
  </w:num>
  <w:num w:numId="24">
    <w:abstractNumId w:val="21"/>
  </w:num>
  <w:num w:numId="25">
    <w:abstractNumId w:val="1"/>
  </w:num>
  <w:num w:numId="26">
    <w:abstractNumId w:val="2"/>
  </w:num>
  <w:num w:numId="27">
    <w:abstractNumId w:val="23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1"/>
    <w:basedOn w:val="899"/>
    <w:next w:val="899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2">
    <w:name w:val="Heading 1 Char"/>
    <w:link w:val="721"/>
    <w:uiPriority w:val="9"/>
    <w:rPr>
      <w:rFonts w:ascii="Arial" w:hAnsi="Arial" w:eastAsia="Arial" w:cs="Arial"/>
      <w:sz w:val="40"/>
      <w:szCs w:val="40"/>
    </w:rPr>
  </w:style>
  <w:style w:type="paragraph" w:styleId="723">
    <w:name w:val="Heading 2"/>
    <w:basedOn w:val="899"/>
    <w:next w:val="899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4">
    <w:name w:val="Heading 2 Char"/>
    <w:link w:val="723"/>
    <w:uiPriority w:val="9"/>
    <w:rPr>
      <w:rFonts w:ascii="Arial" w:hAnsi="Arial" w:eastAsia="Arial" w:cs="Arial"/>
      <w:sz w:val="34"/>
    </w:rPr>
  </w:style>
  <w:style w:type="paragraph" w:styleId="725">
    <w:name w:val="Heading 3"/>
    <w:basedOn w:val="899"/>
    <w:next w:val="899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link w:val="72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9"/>
    <w:next w:val="899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9"/>
    <w:next w:val="899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9"/>
    <w:next w:val="899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9"/>
    <w:next w:val="899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9"/>
    <w:next w:val="899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9"/>
    <w:next w:val="899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9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Title"/>
    <w:basedOn w:val="899"/>
    <w:next w:val="899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>
    <w:name w:val="Title Char"/>
    <w:link w:val="741"/>
    <w:uiPriority w:val="10"/>
    <w:rPr>
      <w:sz w:val="48"/>
      <w:szCs w:val="48"/>
    </w:rPr>
  </w:style>
  <w:style w:type="paragraph" w:styleId="743">
    <w:name w:val="Subtitle"/>
    <w:basedOn w:val="899"/>
    <w:next w:val="899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>
    <w:name w:val="Subtitle Char"/>
    <w:link w:val="743"/>
    <w:uiPriority w:val="11"/>
    <w:rPr>
      <w:sz w:val="24"/>
      <w:szCs w:val="24"/>
    </w:rPr>
  </w:style>
  <w:style w:type="paragraph" w:styleId="745">
    <w:name w:val="Quote"/>
    <w:basedOn w:val="899"/>
    <w:next w:val="899"/>
    <w:link w:val="746"/>
    <w:uiPriority w:val="29"/>
    <w:qFormat/>
    <w:pPr>
      <w:ind w:left="720" w:right="720"/>
    </w:pPr>
    <w:rPr>
      <w:i/>
    </w:r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9"/>
    <w:next w:val="899"/>
    <w:link w:val="7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>
    <w:name w:val="Intense Quote Char"/>
    <w:link w:val="747"/>
    <w:uiPriority w:val="30"/>
    <w:rPr>
      <w:i/>
    </w:rPr>
  </w:style>
  <w:style w:type="paragraph" w:styleId="749">
    <w:name w:val="Header"/>
    <w:basedOn w:val="899"/>
    <w:link w:val="7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Header Char"/>
    <w:link w:val="749"/>
    <w:uiPriority w:val="99"/>
  </w:style>
  <w:style w:type="paragraph" w:styleId="751">
    <w:name w:val="Footer"/>
    <w:basedOn w:val="899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Footer Char"/>
    <w:link w:val="751"/>
    <w:uiPriority w:val="99"/>
  </w:style>
  <w:style w:type="paragraph" w:styleId="753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751"/>
    <w:uiPriority w:val="99"/>
  </w:style>
  <w:style w:type="table" w:styleId="75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899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basedOn w:val="89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899"/>
    <w:next w:val="899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899"/>
    <w:next w:val="899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899"/>
    <w:next w:val="899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899"/>
    <w:next w:val="899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899"/>
    <w:next w:val="899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899"/>
    <w:next w:val="899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899"/>
    <w:next w:val="899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899"/>
    <w:next w:val="899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next w:val="899"/>
    <w:link w:val="899"/>
    <w:qFormat/>
    <w:pPr>
      <w:ind w:firstLine="709"/>
      <w:jc w:val="both"/>
    </w:pPr>
    <w:rPr>
      <w:sz w:val="28"/>
      <w:szCs w:val="28"/>
      <w:lang w:val="ru-RU" w:eastAsia="ru-RU" w:bidi="ar-SA"/>
    </w:rPr>
  </w:style>
  <w:style w:type="paragraph" w:styleId="900">
    <w:name w:val="Заголовок 1"/>
    <w:basedOn w:val="899"/>
    <w:next w:val="899"/>
    <w:link w:val="906"/>
    <w:uiPriority w:val="9"/>
    <w:qFormat/>
    <w:pPr>
      <w:jc w:val="center"/>
      <w:keepNext/>
      <w:outlineLvl w:val="0"/>
    </w:pPr>
    <w:rPr>
      <w:sz w:val="40"/>
      <w:szCs w:val="24"/>
    </w:rPr>
  </w:style>
  <w:style w:type="paragraph" w:styleId="901">
    <w:name w:val="Заголовок 2"/>
    <w:basedOn w:val="899"/>
    <w:next w:val="899"/>
    <w:link w:val="907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902">
    <w:name w:val="Заголовок 4"/>
    <w:basedOn w:val="899"/>
    <w:next w:val="899"/>
    <w:link w:val="908"/>
    <w:uiPriority w:val="9"/>
    <w:qFormat/>
    <w:pPr>
      <w:keepNext/>
      <w:spacing w:before="240" w:after="60"/>
      <w:outlineLvl w:val="3"/>
    </w:pPr>
    <w:rPr>
      <w:b/>
      <w:bCs/>
    </w:rPr>
  </w:style>
  <w:style w:type="character" w:styleId="903">
    <w:name w:val="Основной шрифт абзаца"/>
    <w:next w:val="903"/>
    <w:link w:val="899"/>
    <w:uiPriority w:val="1"/>
    <w:semiHidden/>
  </w:style>
  <w:style w:type="table" w:styleId="904">
    <w:name w:val="Обычная таблица"/>
    <w:next w:val="904"/>
    <w:link w:val="899"/>
    <w:uiPriority w:val="99"/>
    <w:semiHidden/>
    <w:unhideWhenUsed/>
    <w:qFormat/>
    <w:tblPr/>
  </w:style>
  <w:style w:type="numbering" w:styleId="905">
    <w:name w:val="Нет списка"/>
    <w:next w:val="905"/>
    <w:link w:val="899"/>
    <w:uiPriority w:val="99"/>
    <w:semiHidden/>
    <w:unhideWhenUsed/>
  </w:style>
  <w:style w:type="character" w:styleId="906">
    <w:name w:val="Заголовок 1 Знак"/>
    <w:basedOn w:val="903"/>
    <w:next w:val="906"/>
    <w:link w:val="900"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styleId="907">
    <w:name w:val="Заголовок 2 Знак"/>
    <w:basedOn w:val="903"/>
    <w:next w:val="907"/>
    <w:link w:val="901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908">
    <w:name w:val="Заголовок 4 Знак"/>
    <w:basedOn w:val="903"/>
    <w:next w:val="908"/>
    <w:link w:val="902"/>
    <w:uiPriority w:val="9"/>
    <w:semiHidden/>
    <w:rPr>
      <w:rFonts w:ascii="Calibri" w:hAnsi="Calibri" w:eastAsia="Times New Roman" w:cs="Times New Roman"/>
      <w:b/>
      <w:bCs/>
      <w:sz w:val="28"/>
      <w:szCs w:val="28"/>
    </w:rPr>
  </w:style>
  <w:style w:type="paragraph" w:styleId="909">
    <w:name w:val="Название"/>
    <w:basedOn w:val="899"/>
    <w:next w:val="909"/>
    <w:link w:val="910"/>
    <w:uiPriority w:val="10"/>
    <w:qFormat/>
    <w:pPr>
      <w:jc w:val="center"/>
    </w:pPr>
    <w:rPr>
      <w:b/>
      <w:bCs/>
      <w:sz w:val="38"/>
      <w:szCs w:val="24"/>
    </w:rPr>
  </w:style>
  <w:style w:type="character" w:styleId="910">
    <w:name w:val="Название Знак"/>
    <w:basedOn w:val="903"/>
    <w:next w:val="910"/>
    <w:link w:val="909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911">
    <w:name w:val="ConsPlusNonformat"/>
    <w:next w:val="911"/>
    <w:link w:val="899"/>
    <w:pPr>
      <w:ind w:firstLine="709"/>
      <w:jc w:val="both"/>
      <w:widowControl w:val="off"/>
    </w:pPr>
    <w:rPr>
      <w:rFonts w:ascii="Courier New" w:hAnsi="Courier New" w:cs="Courier New"/>
      <w:lang w:val="ru-RU" w:eastAsia="ru-RU" w:bidi="ar-SA"/>
    </w:rPr>
  </w:style>
  <w:style w:type="character" w:styleId="912">
    <w:name w:val="Гиперссылка"/>
    <w:basedOn w:val="903"/>
    <w:next w:val="912"/>
    <w:link w:val="899"/>
    <w:uiPriority w:val="99"/>
    <w:rPr>
      <w:rFonts w:cs="Times New Roman"/>
      <w:color w:val="0000ff"/>
      <w:u w:val="single"/>
    </w:rPr>
  </w:style>
  <w:style w:type="paragraph" w:styleId="913">
    <w:name w:val="Текст выноски"/>
    <w:basedOn w:val="899"/>
    <w:next w:val="913"/>
    <w:link w:val="914"/>
    <w:uiPriority w:val="99"/>
    <w:semiHidden/>
    <w:rPr>
      <w:rFonts w:ascii="Tahoma" w:hAnsi="Tahoma" w:cs="Tahoma"/>
      <w:sz w:val="16"/>
      <w:szCs w:val="16"/>
    </w:rPr>
  </w:style>
  <w:style w:type="character" w:styleId="914">
    <w:name w:val="Текст выноски Знак"/>
    <w:basedOn w:val="903"/>
    <w:next w:val="914"/>
    <w:link w:val="913"/>
    <w:uiPriority w:val="99"/>
    <w:semiHidden/>
    <w:rPr>
      <w:rFonts w:ascii="Tahoma" w:hAnsi="Tahoma" w:cs="Tahoma"/>
      <w:sz w:val="16"/>
      <w:szCs w:val="16"/>
    </w:rPr>
  </w:style>
  <w:style w:type="paragraph" w:styleId="915">
    <w:name w:val="Верхний колонтитул"/>
    <w:basedOn w:val="899"/>
    <w:next w:val="915"/>
    <w:link w:val="916"/>
    <w:uiPriority w:val="99"/>
    <w:pPr>
      <w:tabs>
        <w:tab w:val="center" w:pos="4677" w:leader="none"/>
        <w:tab w:val="right" w:pos="9355" w:leader="none"/>
      </w:tabs>
    </w:pPr>
  </w:style>
  <w:style w:type="character" w:styleId="916">
    <w:name w:val="Верхний колонтитул Знак"/>
    <w:basedOn w:val="903"/>
    <w:next w:val="916"/>
    <w:link w:val="915"/>
    <w:uiPriority w:val="99"/>
    <w:rPr>
      <w:rFonts w:cs="Times New Roman"/>
      <w:sz w:val="28"/>
      <w:szCs w:val="28"/>
    </w:rPr>
  </w:style>
  <w:style w:type="character" w:styleId="917">
    <w:name w:val="Номер страницы"/>
    <w:basedOn w:val="903"/>
    <w:next w:val="917"/>
    <w:link w:val="899"/>
    <w:uiPriority w:val="99"/>
    <w:rPr>
      <w:rFonts w:cs="Times New Roman"/>
    </w:rPr>
  </w:style>
  <w:style w:type="paragraph" w:styleId="918">
    <w:name w:val="Нижний колонтитул"/>
    <w:basedOn w:val="899"/>
    <w:next w:val="918"/>
    <w:link w:val="919"/>
    <w:uiPriority w:val="99"/>
    <w:pPr>
      <w:tabs>
        <w:tab w:val="center" w:pos="4677" w:leader="none"/>
        <w:tab w:val="right" w:pos="9355" w:leader="none"/>
      </w:tabs>
    </w:pPr>
  </w:style>
  <w:style w:type="character" w:styleId="919">
    <w:name w:val="Нижний колонтитул Знак"/>
    <w:basedOn w:val="903"/>
    <w:next w:val="919"/>
    <w:link w:val="918"/>
    <w:uiPriority w:val="99"/>
    <w:semiHidden/>
    <w:rPr>
      <w:rFonts w:cs="Times New Roman"/>
      <w:sz w:val="28"/>
      <w:szCs w:val="28"/>
    </w:rPr>
  </w:style>
  <w:style w:type="table" w:styleId="920">
    <w:name w:val="Сетка таблицы"/>
    <w:basedOn w:val="904"/>
    <w:next w:val="920"/>
    <w:link w:val="899"/>
    <w:uiPriority w:val="59"/>
    <w:tblPr/>
  </w:style>
  <w:style w:type="paragraph" w:styleId="921">
    <w:name w:val="ConsPlusNormal"/>
    <w:next w:val="921"/>
    <w:link w:val="899"/>
    <w:pPr>
      <w:ind w:firstLine="709"/>
      <w:jc w:val="both"/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922" w:default="1">
    <w:name w:val="Default Paragraph Font"/>
    <w:uiPriority w:val="1"/>
    <w:semiHidden/>
    <w:unhideWhenUsed/>
  </w:style>
  <w:style w:type="numbering" w:styleId="923" w:default="1">
    <w:name w:val="No List"/>
    <w:uiPriority w:val="99"/>
    <w:semiHidden/>
    <w:unhideWhenUsed/>
  </w:style>
  <w:style w:type="table" w:styleId="924" w:default="1">
    <w:name w:val="Normal Table"/>
    <w:uiPriority w:val="99"/>
    <w:semiHidden/>
    <w:unhideWhenUsed/>
    <w:tblPr/>
  </w:style>
  <w:style w:type="paragraph" w:styleId="1_784" w:customStyle="1">
    <w:name w:val="Абзац списка"/>
    <w:basedOn w:val="628"/>
    <w:next w:val="635"/>
    <w:link w:val="628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Правительство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revision>43</cp:revision>
  <dcterms:created xsi:type="dcterms:W3CDTF">2014-05-22T05:58:00Z</dcterms:created>
  <dcterms:modified xsi:type="dcterms:W3CDTF">2024-01-14T23:08:40Z</dcterms:modified>
  <cp:version>786432</cp:version>
</cp:coreProperties>
</file>