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  <w:rPr>
          <w:sz w:val="27"/>
          <w:szCs w:val="27"/>
        </w:rPr>
      </w:pPr>
      <w:r>
        <w:rPr>
          <w:sz w:val="27"/>
          <w:szCs w:val="2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504" cy="6858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350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52pt;height:54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</w:t>
      </w:r>
      <w:r>
        <w:rPr>
          <w:sz w:val="28"/>
          <w:szCs w:val="28"/>
        </w:rPr>
      </w:r>
    </w:p>
    <w:p>
      <w:pPr>
        <w:pStyle w:val="68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Еврейской автономной области</w:t>
      </w:r>
      <w:r>
        <w:rPr>
          <w:caps/>
          <w:sz w:val="28"/>
          <w:szCs w:val="28"/>
        </w:rPr>
      </w:r>
    </w:p>
    <w:p>
      <w:pPr>
        <w:pStyle w:val="672"/>
        <w:jc w:val="center"/>
      </w:pPr>
      <w:r/>
      <w:r/>
    </w:p>
    <w:p>
      <w:pPr>
        <w:pStyle w:val="6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</w:t>
      </w:r>
      <w:r>
        <w:rPr>
          <w:b/>
          <w:bCs/>
          <w:sz w:val="28"/>
          <w:szCs w:val="28"/>
        </w:rPr>
      </w:r>
    </w:p>
    <w:p>
      <w:pPr>
        <w:pStyle w:val="672"/>
      </w:pPr>
      <w:r>
        <w:t xml:space="preserve"> </w:t>
      </w:r>
      <w:r/>
    </w:p>
    <w:p>
      <w:pPr>
        <w:pStyle w:val="672"/>
      </w:pPr>
      <w:r>
        <w:t xml:space="preserve">                                          </w:t>
      </w:r>
      <w:r>
        <w:t xml:space="preserve">    </w:t>
      </w:r>
      <w:r>
        <w:t xml:space="preserve">        </w:t>
      </w:r>
      <w:r>
        <w:t xml:space="preserve">    </w:t>
      </w:r>
      <w:r>
        <w:t xml:space="preserve">  </w:t>
      </w:r>
      <w:r>
        <w:t xml:space="preserve">                           </w:t>
      </w:r>
      <w:r>
        <w:t xml:space="preserve">        </w:t>
      </w:r>
      <w:r>
        <w:t xml:space="preserve">       </w:t>
      </w:r>
      <w:r>
        <w:t xml:space="preserve"> </w:t>
      </w:r>
      <w:r>
        <w:t xml:space="preserve">                </w:t>
      </w:r>
      <w:r>
        <w:t xml:space="preserve">  </w:t>
      </w:r>
      <w:r>
        <w:t xml:space="preserve">№</w:t>
      </w:r>
      <w:r>
        <w:t xml:space="preserve"> </w:t>
      </w:r>
      <w:r>
        <w:t xml:space="preserve"> </w:t>
      </w:r>
      <w:r/>
    </w:p>
    <w:p>
      <w:pPr>
        <w:pStyle w:val="672"/>
        <w:jc w:val="center"/>
      </w:pPr>
      <w:r/>
      <w:r/>
    </w:p>
    <w:p>
      <w:pPr>
        <w:pStyle w:val="672"/>
        <w:jc w:val="center"/>
      </w:pPr>
      <w:r>
        <w:t xml:space="preserve">г. Биробиджан </w:t>
      </w:r>
      <w:r/>
    </w:p>
    <w:p>
      <w:pPr>
        <w:pStyle w:val="672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jc w:val="both"/>
      </w:pPr>
      <w:r>
        <w:t xml:space="preserve">О внесении изменени</w:t>
      </w:r>
      <w:r>
        <w:t xml:space="preserve">й в П</w:t>
      </w:r>
      <w:r>
        <w:t xml:space="preserve">оложение об оплате труда работников</w:t>
      </w:r>
      <w:r>
        <w:t xml:space="preserve"> комитета образования Еврейской автономной области, замещающих должности, не являющиеся должностями государственной гражданской службы Еврейской автономной области, утвержденное приказом комитета образования Еврейской автономной области от 15.06.2012 № 371</w:t>
      </w:r>
      <w:r/>
    </w:p>
    <w:p>
      <w:pPr>
        <w:pStyle w:val="672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jc w:val="both"/>
      </w:pPr>
      <w:r>
        <w:t xml:space="preserve">ПРИКАЗЫВАЮ:</w:t>
      </w:r>
      <w:r/>
    </w:p>
    <w:p>
      <w:pPr>
        <w:pStyle w:val="672"/>
        <w:numPr>
          <w:ilvl w:val="0"/>
          <w:numId w:val="19"/>
        </w:numPr>
        <w:ind w:left="0" w:firstLine="851"/>
        <w:jc w:val="both"/>
      </w:pPr>
      <w:r>
        <w:t xml:space="preserve">Внести в Положение об оплате труда работников комитета образования Еврейской автономной области, замещающих должности, не являющиеся должностями государственной гражданской службы Еврейской автономной области, утвержденное приказом комитета образования </w:t>
      </w:r>
      <w:r>
        <w:t xml:space="preserve">Еврейской автономной области</w:t>
      </w:r>
      <w:r>
        <w:t xml:space="preserve"> от 15.06.2012 № 371 «Об утверждении Положения об оплате труда работников комитета образования Еврейской автономной области, замещающих должности, не являющиеся должностями государственной гражданской службы Еврейской автономной области», </w:t>
      </w:r>
      <w:r>
        <w:t xml:space="preserve">следующие </w:t>
      </w:r>
      <w:r>
        <w:t xml:space="preserve">изменени</w:t>
      </w:r>
      <w:r>
        <w:t xml:space="preserve">я</w:t>
      </w:r>
      <w:r>
        <w:t xml:space="preserve">:</w:t>
      </w:r>
      <w:r/>
    </w:p>
    <w:p>
      <w:pPr>
        <w:pStyle w:val="672"/>
        <w:numPr>
          <w:ilvl w:val="1"/>
          <w:numId w:val="19"/>
        </w:numPr>
        <w:contextualSpacing/>
        <w:ind w:left="0" w:firstLine="851"/>
        <w:jc w:val="both"/>
      </w:pPr>
      <w:r>
        <w:t xml:space="preserve">Подраздел «Премиальные выплаты по итогам работы»</w:t>
      </w:r>
      <w:r>
        <w:t xml:space="preserve"> </w:t>
      </w:r>
      <w:r>
        <w:t xml:space="preserve">р</w:t>
      </w:r>
      <w:r>
        <w:t xml:space="preserve">аздела </w:t>
      </w:r>
      <w:r>
        <w:rPr>
          <w:lang w:val="en-US"/>
        </w:rPr>
        <w:t xml:space="preserve">I</w:t>
      </w:r>
      <w:r>
        <w:rPr>
          <w:lang w:val="en-US"/>
        </w:rPr>
        <w:t xml:space="preserve">V</w:t>
      </w:r>
      <w:r>
        <w:t xml:space="preserve"> «Порядок, условия установления и размеры выплат стимулирующего характера» </w:t>
      </w:r>
      <w:r>
        <w:t xml:space="preserve">изложить в следующей редакции:</w:t>
      </w:r>
      <w:r/>
    </w:p>
    <w:p>
      <w:pPr>
        <w:pStyle w:val="672"/>
        <w:ind w:firstLine="851"/>
        <w:jc w:val="center"/>
      </w:pPr>
      <w:r>
        <w:t xml:space="preserve">«</w:t>
      </w:r>
      <w:r>
        <w:t xml:space="preserve">Премиальные выплаты по итогам работы</w:t>
      </w:r>
      <w:r/>
    </w:p>
    <w:p>
      <w:pPr>
        <w:pStyle w:val="672"/>
        <w:ind w:firstLine="851"/>
        <w:jc w:val="both"/>
      </w:pPr>
      <w:r>
        <w:t xml:space="preserve">27. Премиальные выплаты производятся работникам в целях материальной заинтересованности в своевременном и добросовестном исполнении своих должностных обязанностей, повышения качества работы и уровня ответственности за ее выполнение.</w:t>
      </w:r>
      <w:r/>
    </w:p>
    <w:p>
      <w:pPr>
        <w:ind w:firstLine="851"/>
        <w:jc w:val="both"/>
      </w:pPr>
      <w:r>
        <w:rPr>
          <w:highlight w:val="none"/>
        </w:rPr>
      </w:r>
      <w:r>
        <w:t xml:space="preserve">Премиальные выплаты по итогам работы могут производиться за месяц, квартал, год.</w:t>
      </w:r>
      <w:r>
        <w:rPr>
          <w:highlight w:val="none"/>
        </w:rPr>
      </w:r>
      <w:r>
        <w:rPr>
          <w:highlight w:val="none"/>
        </w:rPr>
      </w:r>
    </w:p>
    <w:p>
      <w:pPr>
        <w:pStyle w:val="672"/>
        <w:ind w:firstLine="851"/>
        <w:jc w:val="both"/>
      </w:pPr>
      <w:r>
        <w:t xml:space="preserve">28. </w:t>
      </w:r>
      <w:r>
        <w:t xml:space="preserve">Премиальные выплаты по итогам работы за месяц не носят обязательный характер и максимальными размерами не ограничиваются.</w:t>
      </w:r>
      <w:r/>
    </w:p>
    <w:p>
      <w:pPr>
        <w:pStyle w:val="672"/>
        <w:ind w:firstLine="851"/>
        <w:jc w:val="both"/>
      </w:pPr>
      <w:r>
        <w:t xml:space="preserve">Премиальные выплаты по итогам работы за месяц производятся в пределах бюджетных ассигнований, предусмотренных на оплату труда работников.</w:t>
      </w:r>
      <w:r/>
    </w:p>
    <w:p>
      <w:pPr>
        <w:pStyle w:val="672"/>
        <w:ind w:firstLine="851"/>
        <w:jc w:val="both"/>
      </w:pPr>
      <w:r>
        <w:t xml:space="preserve">Решение о выплате работникам премиальных выплат по итогам работы за месяц и их размере принимается начальником департамента или лицом, его замещающим, с участием представительного органа работников и оформляется приказом департамента образования</w:t>
      </w:r>
      <w:r>
        <w:t xml:space="preserve"> Еврейской автономной области.</w:t>
      </w:r>
      <w:r/>
    </w:p>
    <w:p>
      <w:pPr>
        <w:pStyle w:val="672"/>
        <w:ind w:firstLine="851"/>
        <w:jc w:val="both"/>
      </w:pPr>
      <w:r>
        <w:t xml:space="preserve">При премиальных выплатах по итогам работы за месяц решение об их выплате принимается до 25 числа текущего месяца.</w:t>
      </w:r>
      <w:r/>
    </w:p>
    <w:p>
      <w:pPr>
        <w:ind w:firstLine="851"/>
        <w:jc w:val="both"/>
        <w:rPr>
          <w:highlight w:val="none"/>
        </w:rPr>
      </w:pPr>
      <w:r>
        <w:t xml:space="preserve">Начальник департамента направляет решение о премировании работников на согласование заместителю председателя правительства Еврейской автономной области, курирующему департамент, в случае, если суммарный размер премии по итогам работы за квартал выше прогноз</w:t>
      </w:r>
      <w:r>
        <w:t xml:space="preserve">ируемой доли экономии средств департамента.</w:t>
      </w:r>
      <w:r/>
      <w:r/>
      <w:r/>
      <w:r/>
    </w:p>
    <w:p>
      <w:pPr>
        <w:pStyle w:val="672"/>
        <w:ind w:firstLine="851"/>
        <w:jc w:val="both"/>
      </w:pPr>
      <w:r>
        <w:t xml:space="preserve">29. Решение о выплате работникам премиальных выплат по итогам работы за квартал, год принимается председателем комитета или лицом, его замещающим, и оформляется приказом управления.</w:t>
      </w:r>
      <w:r/>
    </w:p>
    <w:p>
      <w:pPr>
        <w:pStyle w:val="672"/>
        <w:ind w:firstLine="851"/>
        <w:jc w:val="both"/>
      </w:pPr>
      <w:r>
        <w:t xml:space="preserve">Премиальные выплаты по итогам работы за квартал, год не носят обязательный характер и максимальными размерами не ограничиваются. </w:t>
      </w:r>
      <w:r/>
    </w:p>
    <w:p>
      <w:pPr>
        <w:pStyle w:val="672"/>
        <w:ind w:firstLine="851"/>
        <w:jc w:val="both"/>
      </w:pPr>
      <w:r>
        <w:t xml:space="preserve">Премиальные выплаты по итогам работы за квартал, год производятся в пределах фонда оплаты труда. </w:t>
      </w:r>
      <w:r/>
    </w:p>
    <w:p>
      <w:pPr>
        <w:pStyle w:val="672"/>
        <w:ind w:firstLine="851"/>
        <w:jc w:val="both"/>
      </w:pPr>
      <w:r>
        <w:t xml:space="preserve">При недостатке фонда оплаты труда премиальные выплаты по итогам работы за квартал, год не производятся.</w:t>
      </w:r>
      <w:r/>
    </w:p>
    <w:p>
      <w:pPr>
        <w:pStyle w:val="672"/>
        <w:ind w:firstLine="851"/>
        <w:jc w:val="both"/>
      </w:pPr>
      <w:r>
        <w:t xml:space="preserve">Премиальные выплаты по ито</w:t>
      </w:r>
      <w:r>
        <w:t xml:space="preserve">гам работы за квартал устанавливаются за прошедший квартал, за исключением четвертого (в четвертом квартале премиальные выплаты по итогам работы за 4 квартал устанавливаются в декабре). Премиальные выплаты по итогам работы за год устанавливаются в декабре.</w:t>
      </w:r>
      <w:r/>
    </w:p>
    <w:p>
      <w:pPr>
        <w:pStyle w:val="672"/>
        <w:ind w:firstLine="851"/>
        <w:jc w:val="both"/>
      </w:pPr>
      <w:r>
        <w:t xml:space="preserve">Основными критериями премирования по итогам работы за квартал, год являются:</w:t>
      </w:r>
      <w:r/>
    </w:p>
    <w:p>
      <w:pPr>
        <w:pStyle w:val="672"/>
        <w:ind w:firstLine="851"/>
        <w:jc w:val="both"/>
      </w:pPr>
      <w:r>
        <w:t xml:space="preserve">- качественное и добросовестное выполнение должностных обязанностей по занимаемой должности;</w:t>
      </w:r>
      <w:r/>
    </w:p>
    <w:p>
      <w:pPr>
        <w:pStyle w:val="672"/>
        <w:ind w:left="709" w:firstLine="142"/>
        <w:jc w:val="both"/>
      </w:pPr>
      <w:r>
        <w:t xml:space="preserve">- соблюдение трудовой и исполнительской дисциплины;</w:t>
      </w:r>
      <w:r/>
    </w:p>
    <w:p>
      <w:pPr>
        <w:pStyle w:val="672"/>
        <w:ind w:firstLine="851"/>
        <w:jc w:val="both"/>
      </w:pPr>
      <w:r>
        <w:t xml:space="preserve">- отсутствие выявленных нарушений по результатам проведенных проверок в отчетном периоде;</w:t>
      </w:r>
      <w:r/>
    </w:p>
    <w:p>
      <w:pPr>
        <w:pStyle w:val="672"/>
        <w:ind w:firstLine="851"/>
        <w:jc w:val="both"/>
      </w:pPr>
      <w:r>
        <w:t xml:space="preserve">- эффективное расходование средств федерального и областного бюджетов.</w:t>
      </w:r>
      <w:r/>
    </w:p>
    <w:p>
      <w:pPr>
        <w:pStyle w:val="672"/>
        <w:ind w:firstLine="851"/>
        <w:jc w:val="both"/>
      </w:pPr>
      <w:r>
        <w:t xml:space="preserve">Премиальные выплаты по итогам работы за квартал, год устанавливаются в процентном отношении от оклада работника и начисляются пропорционально фактически отработанному времени в отчетном периоде.</w:t>
      </w:r>
      <w:r/>
    </w:p>
    <w:p>
      <w:pPr>
        <w:pStyle w:val="672"/>
        <w:ind w:firstLine="851"/>
        <w:jc w:val="both"/>
      </w:pPr>
      <w:r>
        <w:t xml:space="preserve">30. Стимулирующие выплаты исчисляются с учетом районного коэффициента и процентной надбавки за стаж работы в южных районах Дальнего Востока и выплачиваются одновременно с заработной платой из установленных ставок (окладов).</w:t>
      </w:r>
      <w:r/>
    </w:p>
    <w:p>
      <w:pPr>
        <w:pStyle w:val="672"/>
        <w:ind w:firstLine="851"/>
        <w:jc w:val="both"/>
      </w:pPr>
      <w:r>
        <w:t xml:space="preserve">В случае если месячная заработная плата работника, полностью отработавшего за этот период норму</w:t>
      </w:r>
      <w:r>
        <w:t xml:space="preserve"> рабочего времени и выполнившего нормы труда (трудовые обязанности),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южных районах Д</w:t>
      </w:r>
      <w:r>
        <w:t xml:space="preserve">альнего Востока, работнику производится доплата до уровня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южных районах Дальнего Востока.</w:t>
      </w:r>
      <w:r>
        <w:t xml:space="preserve">».</w:t>
      </w:r>
      <w:r/>
    </w:p>
    <w:p>
      <w:pPr>
        <w:pStyle w:val="672"/>
        <w:ind w:firstLine="851"/>
        <w:jc w:val="both"/>
      </w:pPr>
      <w:r>
        <w:t xml:space="preserve">2. Настоящий приказ вступает в силу со дня его официального опубликования.</w:t>
      </w:r>
      <w:r/>
    </w:p>
    <w:p>
      <w:pPr>
        <w:pStyle w:val="672"/>
        <w:ind w:firstLine="709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ind w:firstLine="709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ind w:firstLine="709"/>
        <w:jc w:val="both"/>
        <w:widowControl w:val="off"/>
        <w:tabs>
          <w:tab w:val="left" w:pos="8520" w:leader="none"/>
          <w:tab w:val="left" w:pos="8662" w:leader="none"/>
        </w:tabs>
      </w:pPr>
      <w:r/>
      <w:r/>
    </w:p>
    <w:p>
      <w:pPr>
        <w:pStyle w:val="672"/>
        <w:jc w:val="both"/>
        <w:widowControl w:val="off"/>
        <w:tabs>
          <w:tab w:val="left" w:pos="8520" w:leader="none"/>
          <w:tab w:val="left" w:pos="8662" w:leader="none"/>
        </w:tabs>
      </w:pPr>
      <w:r>
        <w:t xml:space="preserve">Начальник департамента</w:t>
      </w:r>
      <w:r>
        <w:t xml:space="preserve">                                                         </w:t>
      </w:r>
      <w:r>
        <w:t xml:space="preserve">Н.Н. Соловченкова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89"/>
      <w:jc w:val="center"/>
      <w:rPr>
        <w:sz w:val="22"/>
        <w:szCs w:val="22"/>
      </w:rPr>
    </w:pPr>
    <w:r>
      <w:rPr>
        <w:sz w:val="22"/>
        <w:szCs w:val="22"/>
      </w:rPr>
    </w:r>
    <w:r>
      <w:rPr>
        <w:sz w:val="22"/>
        <w:szCs w:val="2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09" w:hanging="120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4" w:hanging="121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405"/>
      </w:pPr>
    </w:lvl>
    <w:lvl w:ilvl="1">
      <w:start w:val="6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5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4" w:hanging="118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405"/>
      </w:pPr>
    </w:lvl>
    <w:lvl w:ilvl="1">
      <w:start w:val="6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5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16"/>
  </w:num>
  <w:num w:numId="16">
    <w:abstractNumId w:val="3"/>
  </w:num>
  <w:num w:numId="17">
    <w:abstractNumId w:val="11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2"/>
    <w:next w:val="67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2"/>
    <w:next w:val="67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2"/>
    <w:next w:val="67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2"/>
    <w:next w:val="67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2"/>
    <w:next w:val="67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2"/>
    <w:next w:val="67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2"/>
    <w:next w:val="67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8"/>
      <w:szCs w:val="28"/>
      <w:lang w:val="ru-RU" w:eastAsia="ru-RU" w:bidi="ar-SA"/>
    </w:rPr>
  </w:style>
  <w:style w:type="paragraph" w:styleId="673">
    <w:name w:val="Заголовок 1"/>
    <w:basedOn w:val="672"/>
    <w:next w:val="672"/>
    <w:link w:val="680"/>
    <w:uiPriority w:val="9"/>
    <w:qFormat/>
    <w:pPr>
      <w:jc w:val="center"/>
      <w:keepNext/>
      <w:outlineLvl w:val="0"/>
    </w:pPr>
    <w:rPr>
      <w:sz w:val="40"/>
      <w:szCs w:val="24"/>
    </w:rPr>
  </w:style>
  <w:style w:type="paragraph" w:styleId="674">
    <w:name w:val="Заголовок 2"/>
    <w:basedOn w:val="672"/>
    <w:next w:val="672"/>
    <w:link w:val="681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75">
    <w:name w:val="Заголовок 3"/>
    <w:basedOn w:val="672"/>
    <w:next w:val="672"/>
    <w:link w:val="695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676">
    <w:name w:val="Заголовок 4"/>
    <w:basedOn w:val="672"/>
    <w:next w:val="672"/>
    <w:link w:val="682"/>
    <w:uiPriority w:val="9"/>
    <w:qFormat/>
    <w:pPr>
      <w:keepNext/>
      <w:spacing w:before="240" w:after="60"/>
      <w:outlineLvl w:val="3"/>
    </w:pPr>
    <w:rPr>
      <w:b/>
      <w:bCs/>
    </w:rPr>
  </w:style>
  <w:style w:type="character" w:styleId="677">
    <w:name w:val="Основной шрифт абзаца"/>
    <w:next w:val="677"/>
    <w:link w:val="672"/>
    <w:uiPriority w:val="1"/>
    <w:semiHidden/>
  </w:style>
  <w:style w:type="table" w:styleId="678">
    <w:name w:val="Обычная таблица"/>
    <w:next w:val="678"/>
    <w:link w:val="672"/>
    <w:uiPriority w:val="99"/>
    <w:semiHidden/>
    <w:unhideWhenUsed/>
    <w:qFormat/>
    <w:tblPr/>
  </w:style>
  <w:style w:type="numbering" w:styleId="679">
    <w:name w:val="Нет списка"/>
    <w:next w:val="679"/>
    <w:link w:val="672"/>
    <w:uiPriority w:val="99"/>
    <w:semiHidden/>
    <w:unhideWhenUsed/>
  </w:style>
  <w:style w:type="character" w:styleId="680">
    <w:name w:val="Заголовок 1 Знак"/>
    <w:basedOn w:val="677"/>
    <w:next w:val="680"/>
    <w:link w:val="673"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styleId="681">
    <w:name w:val="Заголовок 2 Знак"/>
    <w:basedOn w:val="677"/>
    <w:next w:val="681"/>
    <w:link w:val="674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82">
    <w:name w:val="Заголовок 4 Знак"/>
    <w:basedOn w:val="677"/>
    <w:next w:val="682"/>
    <w:link w:val="676"/>
    <w:uiPriority w:val="9"/>
    <w:semiHidden/>
    <w:rPr>
      <w:rFonts w:ascii="Calibri" w:hAnsi="Calibri" w:eastAsia="Times New Roman" w:cs="Times New Roman"/>
      <w:b/>
      <w:bCs/>
      <w:sz w:val="28"/>
      <w:szCs w:val="28"/>
    </w:rPr>
  </w:style>
  <w:style w:type="paragraph" w:styleId="683">
    <w:name w:val="Название"/>
    <w:basedOn w:val="672"/>
    <w:next w:val="683"/>
    <w:link w:val="684"/>
    <w:uiPriority w:val="10"/>
    <w:qFormat/>
    <w:pPr>
      <w:jc w:val="center"/>
    </w:pPr>
    <w:rPr>
      <w:b/>
      <w:bCs/>
      <w:sz w:val="38"/>
      <w:szCs w:val="24"/>
    </w:rPr>
  </w:style>
  <w:style w:type="character" w:styleId="684">
    <w:name w:val="Название Знак"/>
    <w:basedOn w:val="677"/>
    <w:next w:val="684"/>
    <w:link w:val="683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685">
    <w:name w:val="ConsPlusNonformat"/>
    <w:next w:val="685"/>
    <w:link w:val="672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Гиперссылка"/>
    <w:basedOn w:val="677"/>
    <w:next w:val="686"/>
    <w:link w:val="672"/>
    <w:uiPriority w:val="99"/>
    <w:rPr>
      <w:rFonts w:cs="Times New Roman"/>
      <w:color w:val="0000ff"/>
      <w:u w:val="single"/>
    </w:rPr>
  </w:style>
  <w:style w:type="paragraph" w:styleId="687">
    <w:name w:val="Текст выноски"/>
    <w:basedOn w:val="672"/>
    <w:next w:val="687"/>
    <w:link w:val="688"/>
    <w:uiPriority w:val="99"/>
    <w:semiHidden/>
    <w:rPr>
      <w:rFonts w:ascii="Tahoma" w:hAnsi="Tahoma" w:cs="Tahoma"/>
      <w:sz w:val="16"/>
      <w:szCs w:val="16"/>
    </w:rPr>
  </w:style>
  <w:style w:type="character" w:styleId="688">
    <w:name w:val="Текст выноски Знак"/>
    <w:basedOn w:val="677"/>
    <w:next w:val="688"/>
    <w:link w:val="687"/>
    <w:uiPriority w:val="99"/>
    <w:semiHidden/>
    <w:rPr>
      <w:rFonts w:ascii="Tahoma" w:hAnsi="Tahoma" w:cs="Tahoma"/>
      <w:sz w:val="16"/>
      <w:szCs w:val="16"/>
    </w:rPr>
  </w:style>
  <w:style w:type="paragraph" w:styleId="689">
    <w:name w:val="Верхний колонтитул"/>
    <w:basedOn w:val="672"/>
    <w:next w:val="689"/>
    <w:link w:val="690"/>
    <w:uiPriority w:val="99"/>
    <w:pPr>
      <w:tabs>
        <w:tab w:val="center" w:pos="4677" w:leader="none"/>
        <w:tab w:val="right" w:pos="9355" w:leader="none"/>
      </w:tabs>
    </w:pPr>
  </w:style>
  <w:style w:type="character" w:styleId="690">
    <w:name w:val="Верхний колонтитул Знак"/>
    <w:basedOn w:val="677"/>
    <w:next w:val="690"/>
    <w:link w:val="689"/>
    <w:uiPriority w:val="99"/>
    <w:rPr>
      <w:rFonts w:cs="Times New Roman"/>
      <w:sz w:val="28"/>
      <w:szCs w:val="28"/>
    </w:rPr>
  </w:style>
  <w:style w:type="character" w:styleId="691">
    <w:name w:val="Номер страницы"/>
    <w:basedOn w:val="677"/>
    <w:next w:val="691"/>
    <w:link w:val="672"/>
    <w:uiPriority w:val="99"/>
    <w:rPr>
      <w:rFonts w:cs="Times New Roman"/>
    </w:rPr>
  </w:style>
  <w:style w:type="paragraph" w:styleId="692">
    <w:name w:val="Нижний колонтитул"/>
    <w:basedOn w:val="672"/>
    <w:next w:val="692"/>
    <w:link w:val="693"/>
    <w:uiPriority w:val="99"/>
    <w:pPr>
      <w:tabs>
        <w:tab w:val="center" w:pos="4677" w:leader="none"/>
        <w:tab w:val="right" w:pos="9355" w:leader="none"/>
      </w:tabs>
    </w:pPr>
  </w:style>
  <w:style w:type="character" w:styleId="693">
    <w:name w:val="Нижний колонтитул Знак"/>
    <w:basedOn w:val="677"/>
    <w:next w:val="693"/>
    <w:link w:val="692"/>
    <w:uiPriority w:val="99"/>
    <w:semiHidden/>
    <w:rPr>
      <w:rFonts w:cs="Times New Roman"/>
      <w:sz w:val="28"/>
      <w:szCs w:val="28"/>
    </w:rPr>
  </w:style>
  <w:style w:type="table" w:styleId="694">
    <w:name w:val="Сетка таблицы"/>
    <w:basedOn w:val="678"/>
    <w:next w:val="694"/>
    <w:link w:val="672"/>
    <w:uiPriority w:val="59"/>
    <w:tblPr/>
  </w:style>
  <w:style w:type="character" w:styleId="695">
    <w:name w:val="Заголовок 3 Знак"/>
    <w:basedOn w:val="677"/>
    <w:next w:val="695"/>
    <w:link w:val="675"/>
    <w:rPr>
      <w:rFonts w:ascii="Cambria" w:hAnsi="Cambria" w:eastAsia="Times New Roman" w:cs="Times New Roman"/>
      <w:b/>
      <w:bCs/>
      <w:sz w:val="26"/>
      <w:szCs w:val="26"/>
    </w:rPr>
  </w:style>
  <w:style w:type="character" w:styleId="696">
    <w:name w:val="apple-converted-space"/>
    <w:basedOn w:val="677"/>
    <w:next w:val="696"/>
    <w:link w:val="672"/>
  </w:style>
  <w:style w:type="paragraph" w:styleId="697">
    <w:name w:val="ConsPlusNormal"/>
    <w:next w:val="697"/>
    <w:link w:val="672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929" w:default="1">
    <w:name w:val="Default Paragraph Font"/>
    <w:uiPriority w:val="1"/>
    <w:semiHidden/>
    <w:unhideWhenUsed/>
  </w:style>
  <w:style w:type="numbering" w:styleId="930" w:default="1">
    <w:name w:val="No List"/>
    <w:uiPriority w:val="99"/>
    <w:semiHidden/>
    <w:unhideWhenUsed/>
  </w:style>
  <w:style w:type="table" w:styleId="9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Правительство ЕАО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revision>14</cp:revision>
  <dcterms:created xsi:type="dcterms:W3CDTF">2019-10-21T00:09:00Z</dcterms:created>
  <dcterms:modified xsi:type="dcterms:W3CDTF">2023-11-20T00:25:07Z</dcterms:modified>
  <cp:version>786432</cp:version>
</cp:coreProperties>
</file>