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rPr>
          <w:b/>
        </w:rPr>
        <w:outlineLvl w:val="1"/>
      </w:pPr>
      <w:r>
        <w:rPr>
          <w:b/>
        </w:rPr>
        <w:t xml:space="preserve">УВЕДОМЛЕНИЕ</w:t>
        <w:br w:type="textWrapping" w:clear="all"/>
        <w:t xml:space="preserve">о проведении общественного обсуждения проекта </w:t>
      </w:r>
      <w:r>
        <w:rPr>
          <w:b/>
          <w:bCs/>
        </w:rPr>
        <w:t xml:space="preserve">Программы</w:t>
      </w:r>
      <w:r>
        <w:rPr>
          <w:b/>
          <w:bCs/>
        </w:rPr>
        <w:t xml:space="preserve"> профилактики</w:t>
      </w:r>
      <w:r>
        <w:rPr>
          <w:b/>
          <w:bCs/>
        </w:rPr>
        <w:t xml:space="preserve"> </w:t>
      </w:r>
      <w:r>
        <w:rPr>
          <w:b/>
          <w:bCs/>
        </w:rPr>
        <w:t xml:space="preserve">рисков причинения вреда (ущерба) </w:t>
      </w:r>
      <w:r>
        <w:rPr>
          <w:b/>
        </w:rPr>
        <w:t xml:space="preserve">охраняемым законом</w:t>
      </w:r>
      <w:r/>
    </w:p>
    <w:p>
      <w:pPr>
        <w:pStyle w:val="6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ценностям при осуществлении департаментом образования Еврейской автономной области федерального государственного контроля (надзора) в сфере образования на 2024 год</w:t>
      </w:r>
      <w:r/>
    </w:p>
    <w:p>
      <w:pPr>
        <w:pStyle w:val="597"/>
        <w:rPr>
          <w:bCs/>
          <w:sz w:val="24"/>
          <w:szCs w:val="24"/>
        </w:rPr>
        <w:outlineLvl w:val="1"/>
      </w:pPr>
      <w:r>
        <w:rPr>
          <w:bCs/>
          <w:sz w:val="24"/>
          <w:szCs w:val="24"/>
        </w:rPr>
      </w:r>
      <w:r/>
    </w:p>
    <w:tbl>
      <w:tblPr>
        <w:tblW w:w="9445" w:type="dxa"/>
        <w:tblCellSpacing w:w="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30" w:type="dxa"/>
          <w:top w:w="30" w:type="dxa"/>
          <w:right w:w="30" w:type="dxa"/>
          <w:bottom w:w="30" w:type="dxa"/>
        </w:tblCellMar>
        <w:tblLook w:val="04A0" w:firstRow="1" w:lastRow="0" w:firstColumn="1" w:lastColumn="0" w:noHBand="0" w:noVBand="1"/>
      </w:tblPr>
      <w:tblGrid>
        <w:gridCol w:w="2642"/>
        <w:gridCol w:w="6803"/>
      </w:tblGrid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проекта документа, подлежащего общественному обсуждению: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4"/>
                <w:szCs w:val="24"/>
              </w:rPr>
              <w:outlineLvl w:val="1"/>
            </w:pPr>
            <w:r>
              <w:rPr>
                <w:bCs/>
                <w:sz w:val="24"/>
                <w:szCs w:val="24"/>
              </w:rPr>
              <w:t xml:space="preserve">Программа профилактики рисков причинения вреда (ущерба) </w:t>
            </w:r>
            <w:r>
              <w:rPr>
                <w:sz w:val="24"/>
                <w:szCs w:val="24"/>
              </w:rPr>
              <w:t xml:space="preserve">охраняемым законом ценностям при осуществлении департаментом образования Еврейской автономной области федерального государственного контроля (надзора) в сфере образования на 2024 год</w:t>
            </w:r>
            <w:r>
              <w:rPr>
                <w:sz w:val="24"/>
                <w:szCs w:val="24"/>
              </w:rPr>
              <w:t xml:space="preserve"> (далее – Программа профилактики)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общественного обсуждения: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общественного обсуждения: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widowControl w:val="o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проекта</w:t>
            </w:r>
            <w:r>
              <w:rPr>
                <w:sz w:val="24"/>
                <w:szCs w:val="24"/>
              </w:rPr>
              <w:t xml:space="preserve"> Программы профилактики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  <w:u w:val="single"/>
              </w:rPr>
              <w:instrText xml:space="preserve"> "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sz w:val="24"/>
                <w:szCs w:val="24"/>
                <w:u w:val="single"/>
              </w:rPr>
              <w:instrText xml:space="preserve">://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  <w:u w:val="single"/>
              </w:rPr>
              <w:instrText xml:space="preserve">-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sz w:val="24"/>
                <w:szCs w:val="24"/>
                <w:u w:val="single"/>
              </w:rPr>
              <w:instrText xml:space="preserve">.</w:instrText>
            </w:r>
            <w:r>
              <w:rPr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u w:val="single"/>
              </w:rPr>
              <w:instrText xml:space="preserve">" </w:instrText>
            </w:r>
            <w:r>
              <w:rPr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601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601"/>
                <w:sz w:val="24"/>
                <w:szCs w:val="24"/>
              </w:rPr>
              <w:t xml:space="preserve">://</w:t>
            </w:r>
            <w:r>
              <w:rPr>
                <w:rStyle w:val="601"/>
                <w:sz w:val="24"/>
                <w:szCs w:val="24"/>
                <w:lang w:val="en-US"/>
              </w:rPr>
              <w:t xml:space="preserve">kom</w:t>
            </w:r>
            <w:bookmarkStart w:id="0" w:name="_Hlt83905133"/>
            <w:r/>
            <w:bookmarkStart w:id="1" w:name="_Hlt83905134"/>
            <w:r/>
            <w:bookmarkStart w:id="2" w:name="_Hlt83905176"/>
            <w:r>
              <w:rPr>
                <w:rStyle w:val="601"/>
                <w:sz w:val="24"/>
                <w:szCs w:val="24"/>
                <w:lang w:val="en-US"/>
              </w:rPr>
              <w:t xml:space="preserve">o</w:t>
            </w:r>
            <w:bookmarkEnd w:id="0"/>
            <w:r/>
            <w:bookmarkEnd w:id="1"/>
            <w:r/>
            <w:bookmarkEnd w:id="2"/>
            <w:r>
              <w:rPr>
                <w:rStyle w:val="601"/>
                <w:sz w:val="24"/>
                <w:szCs w:val="24"/>
                <w:lang w:val="en-US"/>
              </w:rPr>
              <w:t xml:space="preserve">br</w:t>
            </w:r>
            <w:r>
              <w:rPr>
                <w:rStyle w:val="601"/>
                <w:sz w:val="24"/>
                <w:szCs w:val="24"/>
              </w:rPr>
              <w:t xml:space="preserve">-</w:t>
            </w:r>
            <w:r>
              <w:rPr>
                <w:rStyle w:val="601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601"/>
                <w:sz w:val="24"/>
                <w:szCs w:val="24"/>
              </w:rPr>
              <w:t xml:space="preserve">.</w:t>
            </w:r>
            <w:r>
              <w:rPr>
                <w:rStyle w:val="601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sz w:val="24"/>
                <w:szCs w:val="24"/>
                <w:u w:val="single"/>
              </w:rPr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auto"/>
            <w:vAlign w:val="top"/>
            <w:vMerge w:val="restart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Контакт: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Еврейской автономной области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auto"/>
            <w:vAlign w:val="center"/>
            <w:vMerge w:val="continue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679016, Еврейская автономная область,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г. Биробиджан, ул. Калинина, 19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auto"/>
            <w:vAlign w:val="center"/>
            <w:vMerge w:val="continue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8(42622) 2-33-42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auto"/>
            <w:vAlign w:val="center"/>
            <w:vMerge w:val="continue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Ховрич Татьяна Николаевна</w:t>
            </w:r>
            <w:r/>
          </w:p>
        </w:tc>
      </w:tr>
      <w:tr>
        <w:trPr>
          <w:cantSplit/>
          <w:tblCellSpacing w:w="0" w:type="dxa"/>
        </w:trPr>
        <w:tc>
          <w:tcPr>
            <w:tcW w:w="2642" w:type="auto"/>
            <w:vAlign w:val="center"/>
            <w:vMerge w:val="continue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5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@</w:instrText>
            </w:r>
            <w:r>
              <w:rPr>
                <w:sz w:val="24"/>
                <w:szCs w:val="24"/>
                <w:lang w:val="en-US"/>
              </w:rPr>
              <w:instrText xml:space="preserve">post.eao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601"/>
                <w:sz w:val="24"/>
                <w:szCs w:val="24"/>
                <w:lang w:val="en-US"/>
              </w:rPr>
              <w:t xml:space="preserve">komobr</w:t>
            </w:r>
            <w:r>
              <w:rPr>
                <w:rStyle w:val="601"/>
                <w:sz w:val="24"/>
                <w:szCs w:val="24"/>
              </w:rPr>
              <w:t xml:space="preserve">@</w:t>
            </w:r>
            <w:r>
              <w:rPr>
                <w:rStyle w:val="601"/>
                <w:sz w:val="24"/>
                <w:szCs w:val="24"/>
                <w:lang w:val="en-US"/>
              </w:rPr>
              <w:t xml:space="preserve">post.eao</w:t>
            </w:r>
            <w:r>
              <w:rPr>
                <w:rStyle w:val="601"/>
                <w:sz w:val="24"/>
                <w:szCs w:val="24"/>
              </w:rPr>
              <w:t xml:space="preserve">.</w:t>
            </w:r>
            <w:r>
              <w:rPr>
                <w:rStyle w:val="601"/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общественного обсуждения: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</w:t>
            </w:r>
            <w:r>
              <w:rPr>
                <w:sz w:val="24"/>
                <w:szCs w:val="24"/>
              </w:rPr>
              <w:t xml:space="preserve">ала общественного обсуждения: </w:t>
            </w:r>
            <w:r>
              <w:rPr>
                <w:sz w:val="24"/>
                <w:szCs w:val="24"/>
              </w:rPr>
              <w:t xml:space="preserve">01.10.2023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color w:val="ff0000"/>
                <w:sz w:val="24"/>
                <w:szCs w:val="24"/>
              </w:rPr>
            </w:r>
            <w:r/>
          </w:p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общественного</w:t>
            </w:r>
            <w:r>
              <w:rPr>
                <w:sz w:val="24"/>
                <w:szCs w:val="24"/>
              </w:rPr>
              <w:t xml:space="preserve"> обсуждения: 01.11.2023</w:t>
            </w:r>
            <w:r>
              <w:rPr>
                <w:sz w:val="24"/>
                <w:szCs w:val="24"/>
              </w:rPr>
              <w:t xml:space="preserve"> г.</w:t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общественного обсуждения: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6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проводится путем размещения проекта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профилактики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</w:t>
            </w:r>
            <w:bookmarkStart w:id="3" w:name="Par811"/>
            <w:r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области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"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http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://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komobr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-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eao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.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>
              <w:rPr>
                <w:rStyle w:val="601"/>
                <w:rFonts w:ascii="Times New Roman" w:hAnsi="Times New Roman"/>
                <w:sz w:val="24"/>
                <w:szCs w:val="24"/>
                <w:lang w:val="en-US"/>
              </w:rPr>
              <w:t xml:space="preserve">http</w:t>
            </w:r>
            <w:r>
              <w:rPr>
                <w:rStyle w:val="601"/>
                <w:rFonts w:ascii="Times New Roman" w:hAnsi="Times New Roman"/>
                <w:sz w:val="24"/>
                <w:szCs w:val="24"/>
              </w:rPr>
              <w:t xml:space="preserve">://</w:t>
            </w:r>
            <w:r>
              <w:rPr>
                <w:rStyle w:val="601"/>
                <w:rFonts w:ascii="Times New Roman" w:hAnsi="Times New Roman"/>
                <w:sz w:val="24"/>
                <w:szCs w:val="24"/>
                <w:lang w:val="en-US"/>
              </w:rPr>
              <w:t xml:space="preserve">komobr</w:t>
            </w:r>
            <w:r>
              <w:rPr>
                <w:rStyle w:val="601"/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Style w:val="601"/>
                <w:rFonts w:ascii="Times New Roman" w:hAnsi="Times New Roman"/>
                <w:sz w:val="24"/>
                <w:szCs w:val="24"/>
                <w:lang w:val="en-US"/>
              </w:rPr>
              <w:t xml:space="preserve">eao</w:t>
            </w:r>
            <w:r>
              <w:rPr>
                <w:rStyle w:val="601"/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Style w:val="601"/>
                <w:rFonts w:ascii="Times New Roman" w:hAnsi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 октября по 1 ноября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подачи предложений и замечаний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к проекту </w:t>
            </w:r>
            <w:r>
              <w:rPr>
                <w:sz w:val="24"/>
                <w:szCs w:val="24"/>
              </w:rPr>
              <w:t xml:space="preserve">Программы профилактики </w:t>
            </w:r>
            <w:r>
              <w:rPr>
                <w:sz w:val="24"/>
                <w:szCs w:val="24"/>
              </w:rPr>
              <w:t xml:space="preserve">подаются участниками общественного обсуждения в письменной форме на указанный выше адрес электронной почты либо в печатном виде по адресу: </w:t>
            </w:r>
            <w:r>
              <w:rPr>
                <w:sz w:val="24"/>
                <w:szCs w:val="24"/>
              </w:rPr>
              <w:t xml:space="preserve">679016, Еврейская автономная область, г. Биробидж</w:t>
            </w:r>
            <w:r>
              <w:rPr>
                <w:sz w:val="24"/>
                <w:szCs w:val="24"/>
              </w:rPr>
              <w:t xml:space="preserve">ан, ул. Калинина, 19, каб. № 208</w:t>
            </w:r>
            <w:r>
              <w:rPr>
                <w:sz w:val="24"/>
                <w:szCs w:val="24"/>
              </w:rPr>
              <w:t xml:space="preserve">; понедельник - пятница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09:00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13:00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и с 14:00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 до 18</w:t>
            </w:r>
            <w:r>
              <w:rPr>
                <w:sz w:val="24"/>
                <w:szCs w:val="24"/>
              </w:rPr>
              <w:t xml:space="preserve">:00 ч</w:t>
            </w:r>
            <w:r>
              <w:rPr>
                <w:sz w:val="24"/>
                <w:szCs w:val="24"/>
              </w:rPr>
              <w:t xml:space="preserve">ас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участников общественного обсуждения, поступившие после срока (даты) окончания общественного обсуждения, не учитываются при доработке проекта</w:t>
            </w:r>
            <w:r>
              <w:rPr>
                <w:sz w:val="24"/>
                <w:szCs w:val="24"/>
              </w:rPr>
              <w:t xml:space="preserve"> Программы профилактики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определения результатов общественного обсуждения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Поступившие предложения и замечания к проекту подлежат рассмотрению ответственным исполнителем 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ноября</w:t>
            </w:r>
            <w:r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года по 1 </w:t>
            </w:r>
            <w:r>
              <w:rPr>
                <w:sz w:val="24"/>
                <w:szCs w:val="24"/>
              </w:rPr>
              <w:t xml:space="preserve">декабря</w:t>
            </w:r>
            <w:r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года</w:t>
            </w:r>
            <w:r/>
          </w:p>
          <w:p>
            <w:pPr>
              <w:pStyle w:val="597"/>
              <w:jc w:val="both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  <w:r>
              <w:rPr>
                <w:sz w:val="24"/>
                <w:szCs w:val="24"/>
              </w:rPr>
              <w:t xml:space="preserve">общественного обсуждения </w:t>
            </w:r>
            <w:r>
              <w:rPr>
                <w:sz w:val="24"/>
                <w:szCs w:val="24"/>
              </w:rPr>
              <w:t xml:space="preserve">размещаю</w:t>
            </w:r>
            <w:r>
              <w:rPr>
                <w:sz w:val="24"/>
                <w:szCs w:val="24"/>
              </w:rPr>
              <w:t xml:space="preserve">тся на официальном сайте </w:t>
            </w:r>
            <w:r>
              <w:rPr>
                <w:sz w:val="24"/>
                <w:szCs w:val="24"/>
              </w:rPr>
              <w:t xml:space="preserve">департамента образования </w:t>
            </w:r>
            <w:r>
              <w:rPr>
                <w:sz w:val="24"/>
                <w:szCs w:val="24"/>
              </w:rPr>
              <w:t xml:space="preserve">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 xml:space="preserve">HYPERLINK</w:instrText>
            </w:r>
            <w:r>
              <w:rPr>
                <w:sz w:val="24"/>
                <w:szCs w:val="24"/>
              </w:rPr>
              <w:instrText xml:space="preserve"> "</w:instrText>
            </w:r>
            <w:r>
              <w:rPr>
                <w:sz w:val="24"/>
                <w:szCs w:val="24"/>
                <w:lang w:val="en-US"/>
              </w:rPr>
              <w:instrText xml:space="preserve">http</w:instrText>
            </w:r>
            <w:r>
              <w:rPr>
                <w:sz w:val="24"/>
                <w:szCs w:val="24"/>
              </w:rPr>
              <w:instrText xml:space="preserve">://</w:instrText>
            </w:r>
            <w:r>
              <w:rPr>
                <w:sz w:val="24"/>
                <w:szCs w:val="24"/>
                <w:lang w:val="en-US"/>
              </w:rPr>
              <w:instrText xml:space="preserve">komobr</w:instrText>
            </w:r>
            <w:r>
              <w:rPr>
                <w:sz w:val="24"/>
                <w:szCs w:val="24"/>
              </w:rPr>
              <w:instrText xml:space="preserve">-</w:instrText>
            </w:r>
            <w:r>
              <w:rPr>
                <w:sz w:val="24"/>
                <w:szCs w:val="24"/>
                <w:lang w:val="en-US"/>
              </w:rPr>
              <w:instrText xml:space="preserve">eao</w:instrText>
            </w:r>
            <w:r>
              <w:rPr>
                <w:sz w:val="24"/>
                <w:szCs w:val="24"/>
              </w:rPr>
              <w:instrText xml:space="preserve">.</w:instrText>
            </w:r>
            <w:r>
              <w:rPr>
                <w:sz w:val="24"/>
                <w:szCs w:val="24"/>
                <w:lang w:val="en-US"/>
              </w:rPr>
              <w:instrText xml:space="preserve">ru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601"/>
                <w:sz w:val="24"/>
                <w:szCs w:val="24"/>
                <w:u w:val="none"/>
                <w:lang w:val="en-US"/>
              </w:rPr>
              <w:t xml:space="preserve">http</w:t>
            </w:r>
            <w:r>
              <w:rPr>
                <w:rStyle w:val="601"/>
                <w:sz w:val="24"/>
                <w:szCs w:val="24"/>
                <w:u w:val="none"/>
              </w:rPr>
              <w:t xml:space="preserve">://</w:t>
            </w:r>
            <w:r>
              <w:rPr>
                <w:rStyle w:val="601"/>
                <w:sz w:val="24"/>
                <w:szCs w:val="24"/>
                <w:u w:val="none"/>
                <w:lang w:val="en-US"/>
              </w:rPr>
              <w:t xml:space="preserve">komobr</w:t>
            </w:r>
            <w:r>
              <w:rPr>
                <w:rStyle w:val="601"/>
                <w:sz w:val="24"/>
                <w:szCs w:val="24"/>
                <w:u w:val="none"/>
              </w:rPr>
              <w:t xml:space="preserve">-</w:t>
            </w:r>
            <w:r>
              <w:rPr>
                <w:rStyle w:val="601"/>
                <w:sz w:val="24"/>
                <w:szCs w:val="24"/>
                <w:u w:val="none"/>
                <w:lang w:val="en-US"/>
              </w:rPr>
              <w:t xml:space="preserve">eao</w:t>
            </w:r>
            <w:r>
              <w:rPr>
                <w:rStyle w:val="601"/>
                <w:sz w:val="24"/>
                <w:szCs w:val="24"/>
                <w:u w:val="none"/>
              </w:rPr>
              <w:t xml:space="preserve">.</w:t>
            </w:r>
            <w:r>
              <w:rPr>
                <w:rStyle w:val="601"/>
                <w:sz w:val="24"/>
                <w:szCs w:val="24"/>
                <w:u w:val="none"/>
                <w:lang w:val="en-US"/>
              </w:rPr>
              <w:t xml:space="preserve">ru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10 декабря 2023 года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2642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проекта, </w:t>
            </w:r>
            <w:r>
              <w:rPr>
                <w:sz w:val="24"/>
                <w:szCs w:val="24"/>
              </w:rPr>
              <w:t xml:space="preserve">подлежащего общественному обсуждению</w:t>
            </w:r>
            <w:r/>
          </w:p>
        </w:tc>
        <w:tc>
          <w:tcPr>
            <w:tcW w:w="6803" w:type="auto"/>
            <w:vAlign w:val="top"/>
            <w:textDirection w:val="lrTb"/>
            <w:noWrap w:val="false"/>
          </w:tcPr>
          <w:p>
            <w:pPr>
              <w:pStyle w:val="597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Прилагается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файл 56,7</w:t>
            </w:r>
            <w:r>
              <w:rPr>
                <w:sz w:val="24"/>
                <w:szCs w:val="24"/>
              </w:rPr>
              <w:t xml:space="preserve"> КБ)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597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rPr>
      <w:sz w:val="28"/>
      <w:szCs w:val="28"/>
      <w:lang w:val="ru-RU" w:eastAsia="ru-RU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601">
    <w:name w:val="Гиперссылка"/>
    <w:next w:val="601"/>
    <w:link w:val="597"/>
    <w:rPr>
      <w:color w:val="0000ff"/>
      <w:u w:val="single"/>
    </w:rPr>
  </w:style>
  <w:style w:type="paragraph" w:styleId="602">
    <w:name w:val=" Знак Знак Знак1 Знак Знак Знак Знак Знак Знак Знак"/>
    <w:basedOn w:val="597"/>
    <w:next w:val="602"/>
    <w:link w:val="5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603">
    <w:name w:val="Normal1"/>
    <w:next w:val="603"/>
    <w:link w:val="597"/>
    <w:rPr>
      <w:sz w:val="28"/>
      <w:lang w:val="ru-RU" w:eastAsia="ru-RU" w:bidi="ar-SA"/>
    </w:rPr>
  </w:style>
  <w:style w:type="paragraph" w:styleId="604">
    <w:name w:val="Текст выноски"/>
    <w:basedOn w:val="597"/>
    <w:next w:val="604"/>
    <w:link w:val="605"/>
    <w:rPr>
      <w:rFonts w:ascii="Tahoma" w:hAnsi="Tahoma" w:cs="Tahoma"/>
      <w:sz w:val="16"/>
      <w:szCs w:val="16"/>
    </w:rPr>
  </w:style>
  <w:style w:type="character" w:styleId="605">
    <w:name w:val="Текст выноски Знак"/>
    <w:next w:val="605"/>
    <w:link w:val="604"/>
    <w:rPr>
      <w:rFonts w:ascii="Tahoma" w:hAnsi="Tahoma" w:cs="Tahoma"/>
      <w:sz w:val="16"/>
      <w:szCs w:val="16"/>
    </w:rPr>
  </w:style>
  <w:style w:type="paragraph" w:styleId="606">
    <w:name w:val="Знак Знак Знак Знак Знак Знак Знак"/>
    <w:basedOn w:val="597"/>
    <w:next w:val="606"/>
    <w:link w:val="597"/>
    <w:uiPriority w:val="99"/>
    <w:pPr>
      <w:jc w:val="right"/>
      <w:spacing w:after="160" w:line="240" w:lineRule="exact"/>
      <w:widowControl w:val="off"/>
    </w:pPr>
    <w:rPr>
      <w:rFonts w:cs="Arial"/>
      <w:sz w:val="20"/>
      <w:szCs w:val="20"/>
      <w:lang w:val="en-GB" w:eastAsia="en-US"/>
    </w:rPr>
  </w:style>
  <w:style w:type="paragraph" w:styleId="607">
    <w:name w:val="Обычный1"/>
    <w:next w:val="607"/>
    <w:link w:val="597"/>
    <w:rPr>
      <w:sz w:val="28"/>
      <w:lang w:val="ru-RU" w:eastAsia="ru-RU" w:bidi="ar-SA"/>
    </w:rPr>
  </w:style>
  <w:style w:type="paragraph" w:styleId="608">
    <w:name w:val="Обычный (веб)"/>
    <w:basedOn w:val="597"/>
    <w:next w:val="608"/>
    <w:link w:val="597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09">
    <w:name w:val="Default"/>
    <w:next w:val="609"/>
    <w:link w:val="597"/>
    <w:rPr>
      <w:color w:val="000000"/>
      <w:sz w:val="24"/>
      <w:szCs w:val="24"/>
      <w:lang w:val="ru-RU" w:eastAsia="ru-RU" w:bidi="ar-SA"/>
    </w:rPr>
  </w:style>
  <w:style w:type="character" w:styleId="610">
    <w:name w:val="Просмотренная гиперссылка"/>
    <w:next w:val="610"/>
    <w:link w:val="597"/>
    <w:rPr>
      <w:color w:val="800080"/>
      <w:u w:val="single"/>
    </w:rPr>
  </w:style>
  <w:style w:type="paragraph" w:styleId="611">
    <w:name w:val="Без интервала"/>
    <w:next w:val="611"/>
    <w:link w:val="612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612">
    <w:name w:val="Без интервала Знак"/>
    <w:next w:val="612"/>
    <w:link w:val="611"/>
    <w:uiPriority w:val="1"/>
    <w:rPr>
      <w:rFonts w:ascii="Calibri" w:hAnsi="Calibri"/>
      <w:sz w:val="22"/>
      <w:szCs w:val="22"/>
      <w:lang w:val="ru-RU" w:eastAsia="ru-RU" w:bidi="ar-SA"/>
    </w:rPr>
  </w:style>
  <w:style w:type="character" w:styleId="1101" w:default="1">
    <w:name w:val="Default Paragraph Font"/>
    <w:uiPriority w:val="1"/>
    <w:semiHidden/>
    <w:unhideWhenUsed/>
  </w:style>
  <w:style w:type="numbering" w:styleId="1102" w:default="1">
    <w:name w:val="No List"/>
    <w:uiPriority w:val="99"/>
    <w:semiHidden/>
    <w:unhideWhenUsed/>
  </w:style>
  <w:style w:type="table" w:styleId="11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Комитет образования ЕАО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obr_210-1</dc:creator>
  <cp:revision>17</cp:revision>
  <dcterms:created xsi:type="dcterms:W3CDTF">2017-01-27T00:36:00Z</dcterms:created>
  <dcterms:modified xsi:type="dcterms:W3CDTF">2023-09-22T04:50:18Z</dcterms:modified>
  <cp:version>1048576</cp:version>
</cp:coreProperties>
</file>