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6598" cy="76261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66598" cy="7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5pt;height:60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>
      <w:pPr>
        <w:pStyle w:val="9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913"/>
        <w:rPr>
          <w:sz w:val="28"/>
          <w:szCs w:val="28"/>
        </w:rPr>
      </w:pP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</w:r>
    </w:p>
    <w:p>
      <w:pPr>
        <w:pStyle w:val="91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Еврейской автономной области</w:t>
      </w:r>
    </w:p>
    <w:p>
      <w:pPr>
        <w:pStyle w:val="906"/>
        <w:jc w:val="center"/>
      </w:pPr>
    </w:p>
    <w:p>
      <w:pPr>
        <w:pStyle w:val="9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</w:t>
      </w:r>
    </w:p>
    <w:p>
      <w:pPr>
        <w:pStyle w:val="906"/>
      </w:pPr>
    </w:p>
    <w:p>
      <w:pPr>
        <w:pStyle w:val="906"/>
      </w:pPr>
      <w:r>
        <w:t xml:space="preserve">__________</w:t>
      </w:r>
      <w:r>
        <w:t xml:space="preserve">                                                             </w:t>
      </w:r>
      <w:r>
        <w:t xml:space="preserve">                                  </w:t>
      </w:r>
      <w:r>
        <w:t xml:space="preserve">       </w:t>
      </w:r>
      <w:r>
        <w:t xml:space="preserve">№ </w:t>
      </w:r>
      <w:r>
        <w:t xml:space="preserve">___</w:t>
      </w:r>
    </w:p>
    <w:p>
      <w:pPr>
        <w:pStyle w:val="906"/>
        <w:jc w:val="center"/>
      </w:pPr>
    </w:p>
    <w:p>
      <w:pPr>
        <w:pStyle w:val="906"/>
        <w:jc w:val="center"/>
      </w:pPr>
      <w:r>
        <w:t xml:space="preserve">г. Биробиджан </w:t>
      </w:r>
    </w:p>
    <w:p>
      <w:pPr>
        <w:pStyle w:val="906"/>
        <w:widowControl w:val="off"/>
        <w:tabs>
          <w:tab w:val="left" w:pos="8520" w:leader="none"/>
          <w:tab w:val="left" w:pos="8662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906"/>
        <w:ind w:right="-2"/>
        <w:jc w:val="both"/>
      </w:pPr>
      <w:r>
        <w:t xml:space="preserve">О порядке признания организаций, осуществляющих о</w:t>
      </w:r>
      <w:r>
        <w:t xml:space="preserve">бразовательную деятельность, и иных действующих</w:t>
      </w:r>
      <w:r>
        <w:t xml:space="preserve"> </w:t>
      </w:r>
      <w:r>
        <w:t xml:space="preserve">в сфере образования организаций региональными</w:t>
      </w:r>
      <w:r>
        <w:t xml:space="preserve"> и</w:t>
      </w:r>
      <w:r>
        <w:t xml:space="preserve">нновационными площадками</w:t>
      </w:r>
    </w:p>
    <w:p>
      <w:pPr>
        <w:pStyle w:val="90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906"/>
        <w:ind w:firstLine="709"/>
        <w:jc w:val="both"/>
      </w:pPr>
      <w:r>
        <w:t xml:space="preserve">В соответствии с частью 4 статьи 20 Федерального закона от 29.12.2012 № 273-ФЗ «Об образовании в Российской Федерации», статьей 4 закона Еврейской автономной области от 06.03.2014 № 472-ОЗ «Об образовании в Еврейской автономной области»</w:t>
      </w:r>
    </w:p>
    <w:p>
      <w:pPr>
        <w:pStyle w:val="906"/>
        <w:jc w:val="both"/>
      </w:pPr>
      <w:r>
        <w:t xml:space="preserve">ПРИКАЗЫВАЮ:</w:t>
      </w:r>
    </w:p>
    <w:p>
      <w:pPr>
        <w:pStyle w:val="906"/>
        <w:tabs>
          <w:tab w:val="left" w:pos="993" w:leader="none"/>
        </w:tabs>
        <w:ind w:firstLine="992"/>
        <w:jc w:val="both"/>
      </w:pPr>
      <w:r>
        <w:t xml:space="preserve">1. Утвердить прилагаемый Порядок признания организаций, осуществляющих образовательную деятельность, и иных действующих в сфере образования организаций региональными инновационными площадками.</w:t>
      </w:r>
    </w:p>
    <w:p>
      <w:pPr>
        <w:pStyle w:val="906"/>
        <w:tabs>
          <w:tab w:val="left" w:pos="993" w:leader="none"/>
        </w:tabs>
        <w:ind w:firstLine="992"/>
        <w:jc w:val="both"/>
      </w:pPr>
      <w:r>
        <w:t xml:space="preserve">2. Признать утратившим силу п</w:t>
      </w:r>
      <w:r>
        <w:t xml:space="preserve">риказ комитета образования Еврейской автономной области от 16.07.2014 № 463 </w:t>
      </w:r>
      <w:r>
        <w:t xml:space="preserve">«О Порядке признания организаций, осущес</w:t>
      </w:r>
      <w:r>
        <w:t xml:space="preserve">твляющих образовательную деятельность, и иных действующих в сфере образования организаций региональными инновационными площадками» (зарегистрирован в юридическом управлении аппарата губернатора и правительства Еврейской автономной области 16.07.2014 № 53).</w:t>
      </w:r>
    </w:p>
    <w:p>
      <w:pPr>
        <w:pStyle w:val="906"/>
        <w:tabs>
          <w:tab w:val="left" w:pos="993" w:leader="none"/>
        </w:tabs>
        <w:ind w:firstLine="992"/>
        <w:jc w:val="both"/>
      </w:pPr>
      <w:r>
        <w:t xml:space="preserve">3. Настоящий приказ вступает в силу после дня его официального опубликования.</w:t>
      </w:r>
    </w:p>
    <w:p>
      <w:pPr>
        <w:pStyle w:val="906"/>
        <w:contextualSpacing/>
        <w:jc w:val="both"/>
      </w:pPr>
    </w:p>
    <w:p>
      <w:pPr>
        <w:pStyle w:val="906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90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ачальник департамента</w:t>
      </w:r>
      <w:r>
        <w:rPr>
          <w:sz w:val="26"/>
          <w:szCs w:val="26"/>
        </w:rPr>
        <w:tab/>
        <w:tab/>
        <w:tab/>
        <w:tab/>
        <w:t xml:space="preserve">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Н.Н. Соловченкова</w:t>
      </w: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906"/>
        <w:jc w:val="both"/>
        <w:rPr>
          <w:sz w:val="20"/>
          <w:szCs w:val="20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</w:p>
    <w:p>
      <w:pPr>
        <w:ind w:left="4677" w:right="0" w:firstLine="0"/>
        <w:jc w:val="left"/>
        <w:rPr>
          <w:highlight w:val="none"/>
        </w:rPr>
      </w:pPr>
      <w:r>
        <w:rPr>
          <w:highlight w:val="none"/>
        </w:rPr>
        <w:t xml:space="preserve">УВЕРЖДЕН</w:t>
      </w:r>
      <w:r>
        <w:rPr>
          <w:highlight w:val="none"/>
        </w:rPr>
      </w:r>
    </w:p>
    <w:p>
      <w:pPr>
        <w:ind w:left="4677" w:right="0" w:firstLine="0"/>
        <w:jc w:val="left"/>
        <w:rPr>
          <w:highlight w:val="none"/>
        </w:rPr>
      </w:pPr>
      <w:r>
        <w:rPr>
          <w:highlight w:val="none"/>
        </w:rPr>
        <w:t xml:space="preserve">приказом департамента образования Еврейской автономной области</w:t>
      </w:r>
      <w:r>
        <w:rPr>
          <w:highlight w:val="none"/>
        </w:rPr>
      </w:r>
    </w:p>
    <w:p>
      <w:pPr>
        <w:ind w:left="4677" w:right="0" w:firstLine="0"/>
        <w:jc w:val="left"/>
      </w:pPr>
      <w:r>
        <w:rPr>
          <w:highlight w:val="none"/>
        </w:rPr>
        <w:t xml:space="preserve">от «____» ________ 2023 г. № _____</w:t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sz w:val="20"/>
          <w:szCs w:val="20"/>
        </w:rPr>
      </w:r>
      <w:r>
        <w:t xml:space="preserve">Порядок </w:t>
      </w:r>
    </w:p>
    <w:p>
      <w:pPr>
        <w:jc w:val="center"/>
      </w:pPr>
      <w:r>
        <w:t xml:space="preserve">признания организаций, осуществляющих о</w:t>
      </w:r>
      <w:r>
        <w:t xml:space="preserve">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>
        <w:t xml:space="preserve">, расположенных на территории Еврейской автономной области</w:t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</w:pPr>
      <w:r>
        <w:t xml:space="preserve">I.Общие положения 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1. Порядок признания организаций, осуществляющих образовательную  деятельность, и иных действу</w:t>
      </w:r>
      <w:r>
        <w:t xml:space="preserve">ющих в сфере образования организаций, а также их  объединений, расположенных на территории Еврейской автономной области, региональными инновационными площадками  (далее – порядок) определяет организационную процедуру признания  образоват</w:t>
      </w:r>
      <w:r>
        <w:t xml:space="preserve">ельных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</w:t>
      </w:r>
      <w:r>
        <w:t xml:space="preserve">Еврейской автономной области</w:t>
      </w:r>
      <w:r>
        <w:t xml:space="preserve"> (далее – организации), региональными </w:t>
      </w:r>
      <w:r>
        <w:t xml:space="preserve">инновационными площадками.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2. Порядок разработан в соответствии с частью 4 статьи 20 Федерального закона от 29 декабря 2012 г. № 273-ФЗ «Об образовании в Российской Федерации»,  приказом Министерства науки и высшего образования Российской Федерации  от 22</w:t>
      </w:r>
      <w:r>
        <w:t xml:space="preserve"> марта 2019 г. № 21н «Об утверждении Порядка формирования  и функционирования инновационной инфраструктуры в системе образования».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3. Основными направлениями деятельности региональных инновационных  площадок являются: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3.1. Разработка, апробация и (или) вн</w:t>
      </w:r>
      <w:r>
        <w:t xml:space="preserve">едрение: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новых элементов содержания образования и систем воспитания, новых педагогических технологий, учебно-методических н учебно-лабораторных  комплексов, форм, методов и средств обучения и воспитания в организациях,  осуществляющих образовательную де</w:t>
      </w:r>
      <w:r>
        <w:t xml:space="preserve">ятельность, в том числе с использованием  ресурсов негосударственного сектора;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федеральных основных образовательных программ, инновационных  образовательных программ, программ развития образовательных организаций,  работающих в сложны</w:t>
      </w:r>
      <w:r>
        <w:t xml:space="preserve">х социальных условиях;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новых профилей (специализаций) подготовки в сфере профессионального 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</w:t>
      </w:r>
      <w:r>
        <w:t xml:space="preserve">едерации;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методик подготовки, профессиональной переподготовки и (или) повышения  квалификации кадров, в том числе педагогических, научных и научно-педагогических работников и руководящих работников сферы образования,  на основе применения современных обр</w:t>
      </w:r>
      <w:r>
        <w:t xml:space="preserve">азовательных технологий;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 - новых механизмов, форм и методов управления образованием на разных  уровнях, в том числе с использованием современных технологий;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новых институтов общественного участия в управлении образованием;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новых механизмов саморегулиро</w:t>
      </w:r>
      <w:r>
        <w:t xml:space="preserve">вания деятельности объединений  образовательных организаций и работников сферы образования, а также сетевого взаимодействия образовательных организаций.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3.2. Иная инновационная деятельность в сфере образования, направленная на совершенствование учебно-ме</w:t>
      </w:r>
      <w:r>
        <w:t xml:space="preserve">тодического, организационного, правового,  финансово-экономического, кадрового, материально-технического обеспечения  системы образования.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4. Региональные инновационные площадки осуществляют деятельность  в сфере образования по одному или нескольким направ</w:t>
      </w:r>
      <w:r>
        <w:t xml:space="preserve">лениях как в рамках инновационных проектов (программ), реализуемых департаментом образования Еврейскй автномной области, так и по инициативно  разработанным инновационным проектам (программам).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5. Региональными инновационными площад</w:t>
      </w:r>
      <w:r>
        <w:t xml:space="preserve">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– организации) независимо от их организационно-правовой формы, типа, ведомственной </w:t>
      </w:r>
      <w:r>
        <w:t xml:space="preserve">принадлежност</w:t>
      </w:r>
      <w:r>
        <w:t xml:space="preserve">и (при их наличии), реализующие инновационные проекты (программы), которое имеют существенное значение для обеспечения модернизации  и развития системы образования с учетом основных направлений социально-экономического развития Еврейской автономной области</w:t>
      </w:r>
      <w:r>
        <w:t xml:space="preserve">, реализации приоритетных направлений государственной политики Российской Федерации и региональной  политики </w:t>
      </w:r>
      <w:r>
        <w:t xml:space="preserve">в сфере образования.</w:t>
      </w:r>
      <w:r>
        <w:rPr>
          <w:highlight w:val="none"/>
        </w:rPr>
      </w:r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t xml:space="preserve">II. Управление деятельностью региональных инновационных площадок </w:t>
      </w:r>
      <w:r>
        <w:rPr>
          <w:highlight w:val="none"/>
        </w:rPr>
      </w:r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6. В целях координ</w:t>
      </w:r>
      <w:r>
        <w:t xml:space="preserve">ации и развития инновационной деятельности в сфере  образования департамент образования Еврейской автономной области                   (далее – Департамент), создает координационный совет по вопросам развития инн</w:t>
      </w:r>
      <w:r>
        <w:t xml:space="preserve">овационной инфраструктуры в сфере образования Еврейской автономной области (далее – координационный совет).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Состав координационного совета утверждается Департаментом.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В координационный совет входят представители </w:t>
      </w:r>
      <w:r>
        <w:t xml:space="preserve">Департамент</w:t>
      </w:r>
      <w:r>
        <w:t xml:space="preserve">а, а также, по согласованию, представители Минпросв</w:t>
      </w:r>
      <w:r>
        <w:t xml:space="preserve">ещения России, представители органов местного самоуправления, осуществляющих управление в сфере образования,  организаций, осуществляющих образовательную деятельность, научных организаций, общественных организаций, осуществляющих деятельность в сфере об</w:t>
      </w:r>
      <w:r>
        <w:t xml:space="preserve">разования.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Возглавляет координационный совет председатель.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В состав координационного совета входят заместитель председателя  координационного совета, члены координационного совета, секретарь. Координационный совет осуществляет свою деятельность в соответст</w:t>
      </w:r>
      <w:r>
        <w:t xml:space="preserve">вии  с регламентом, который утверждается на его заседании.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7. В полномочия координационного совета входят: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подготовка предложений по формированию основные направлений  деятельности региональных инновационных площадок и критериям эффективности  их реализа</w:t>
      </w:r>
      <w:r>
        <w:t xml:space="preserve">ции;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организация проведения экспертизы и анализ инновационных процессов,  выявление содержания и механизмов, обеспечивающих развитие система  образования;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подготовка предложений по использованию результатов деятельности  региональны</w:t>
      </w:r>
      <w:r>
        <w:t xml:space="preserve">х инновационных площадок в массовой образовательной практике;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подготовка предложений Департамента о признании организаций региональными  инновационными площадками;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подготовка по запросу Департамента аналитических материалов об эффективности  управления развитием и мод</w:t>
      </w:r>
      <w:r>
        <w:t xml:space="preserve">ернизацией образования в соответствии  с приоритетными направлениями государственной политики в сфере образования.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8. Основной формой деятельности координационного совета являются  заседания, которые проводятся по мере необходимости, но не реже одного раза</w:t>
      </w:r>
      <w:r>
        <w:t xml:space="preserve"> в полугодие.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Координационный совет вправе осуществлять свои полномочия, если на этом  заседании присутствует не менее 2/3 от списочного состава.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9. Решения координационного совета принимаются простым большинством  голосов присутствующих на заседании.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Реш</w:t>
      </w:r>
      <w:r>
        <w:t xml:space="preserve">ения координационного совета оформляются протоколами, которые подписываются всеми членами координационного совета, принимавшими участие в заседании.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В протоколах указывается особое мнение членов координационного  совета (при его наличии).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При равенстве г</w:t>
      </w:r>
      <w:r>
        <w:t xml:space="preserve">олосов членов координационного совета решающим является голос председателя координационного совета, а при отсутствии  председателя — его заместителя, председательствующего на совещании. </w:t>
      </w:r>
      <w:r>
        <w:rPr>
          <w:highlight w:val="none"/>
        </w:rPr>
      </w:r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t xml:space="preserve">III. Порядок признания организации региональной инновационной площадко</w:t>
      </w:r>
      <w:r>
        <w:t xml:space="preserve">й</w:t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10. Признание организации региональной инновационной площадкой  осуществляется Департаментом на основе предложений координационного совета.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Координационный совет формирует предложения по признанию организации региональной инновационной площа</w:t>
      </w:r>
      <w:r>
        <w:t xml:space="preserve">дкой на основании результатов экспертизы проектов (программ).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11. Для признания организации региональной инновационной площадкой организацией-соискателем (далее – Соискатель) подается заявка в бумажном виде в координационный совет не позднее 1 сентября, </w:t>
      </w:r>
      <w:r>
        <w:t xml:space="preserve">которая должна содержать: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наименование и место нахождения, контактные телефоны Соискателя;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цели, задачи и основную идею (идеи) предлагаемого проекта (программы), обоснование его значимость для развития системы образования;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обоснование возможности ре</w:t>
      </w:r>
      <w:r>
        <w:t xml:space="preserve">ализации проекта (программы) в соответствии с законодательством об образование или предложения по содержанию проекта  нормативного правового акта, необходимого для реализации проекта (программа);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предложения по распространению и внедрению результатов пр</w:t>
      </w:r>
      <w:r>
        <w:t xml:space="preserve">оекта  (программы) в массовую практику; </w:t>
      </w:r>
    </w:p>
    <w:p>
      <w:pPr>
        <w:suppressLineNumbers w:val="0"/>
        <w:ind w:firstLine="720"/>
        <w:jc w:val="both"/>
      </w:pPr>
      <w:r>
        <w:t xml:space="preserve">- обоснование устойчивости результатов проекта (программы) после  окончания ее реализации, включая механизмы его ресурсного обеспечения.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К заявке прилагаются: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решение органа самоуправления Соискателя об участии в р</w:t>
      </w:r>
      <w:r>
        <w:t xml:space="preserve">еализации  проекта (программы);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программа реализации проекта (программы): исходные теоретические  положения, этапы, содержание и методы деятельности, прогнозируемые результаты по каждому этапу, показатели эффективности деятельности, необходимые условия </w:t>
      </w:r>
      <w:r>
        <w:t xml:space="preserve"> организации работ, средства контроля н обеспечения достоверности результатов,  перечень научных и (или) учебно-методических разработок по направлению проекта  (программы);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календарный план с указанием сроков реализации проекта (программы)  по этапам и п</w:t>
      </w:r>
      <w:r>
        <w:t xml:space="preserve">еречня конечных результатов.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12. Заявки, поступившие в координационный совет, направляются  на экспертизу.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13. Экспертиза заявки осуществляется экспертным советом.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В состав экспертного совета включаются представители организаций осущес</w:t>
      </w:r>
      <w:r>
        <w:t xml:space="preserve">твляющих образовательную деятельность, научных организаций и общественных организаций, осуществляющих деятельность в сфере образования.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14. Экспертный совет осуществляет: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экспертизу заявок в течение одного месяца с момента подачи;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представление заклю</w:t>
      </w:r>
      <w:r>
        <w:t xml:space="preserve">чений в координационный совет о результатах  экспертизы заявок.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15. Координационный совет рассматривает представленные экспертным советом заключения и представляет не позднее 1 декабря в Департамент предложение о признании Соискателя региональной инновационной пл</w:t>
      </w:r>
      <w:r>
        <w:t xml:space="preserve">ощадкой.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16. </w:t>
      </w:r>
      <w:r>
        <w:t xml:space="preserve">Департамент</w:t>
      </w:r>
      <w:r>
        <w:t xml:space="preserve"> устанавливает перечень региональных инновационных площадок, входящих в инновационную  инфраструктуру.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17. Основанием для отк</w:t>
      </w:r>
      <w:r>
        <w:t xml:space="preserve">аза в признании организации региональной  инновационной площадкой являются: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несоответствие заявки установленным настоящим Порядком требованиям;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несоответствие заявки актуальным направлениям государственной  политики в сфере образования;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несоответстви</w:t>
      </w:r>
      <w:r>
        <w:t xml:space="preserve">е в заявке между целями, задачами, методами, средствами  и ожидаемыми результатами инновационной деятельности.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Повторное представление заявки на признание региональной инновационной  площадкой осуществляется не ранее чем через год.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18. Признание организаци</w:t>
      </w:r>
      <w:r>
        <w:t xml:space="preserve">и региональной инновационной площадкой  осуществляется на период реализации проекта (программы) приказом </w:t>
      </w:r>
      <w:r>
        <w:t xml:space="preserve">Департамент</w:t>
      </w:r>
      <w:r>
        <w:t xml:space="preserve">а.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По истечении срока реализации проекта (программы) по предложению координационного совета </w:t>
      </w:r>
      <w:r>
        <w:t xml:space="preserve">Департамент</w:t>
      </w:r>
      <w:r>
        <w:t xml:space="preserve">ом принимается одно из следующих решений: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 прекращен</w:t>
      </w:r>
      <w:r>
        <w:t xml:space="preserve">ии деятельности региональной инновационной площадки;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о продлении деятельности региональной инновационной площадки.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19. Деятельность региональной инновационной площадки прекращается  досрочно в случаях: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получения промежуточных резуль</w:t>
      </w:r>
      <w:r>
        <w:t xml:space="preserve">татов, свидетельствующих о невозможности или нецелесообразности продолжения реализации проекта  (программы);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ненадлежащего исполнения обязательств, принятых региональной  инновационной площадкой, изложенных в проекте (программе);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нарушения организацие</w:t>
      </w:r>
      <w:r>
        <w:t xml:space="preserve">й, которая признана региональной инновационной  площадкой, законодательства Российской Федерации при реализации проекта (программы);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непредставления или несвоевременного представления ежегодного отчета о реализации проекта (программы).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</w:pPr>
      <w:r>
        <w:t xml:space="preserve">IV. Деятельность</w:t>
      </w:r>
      <w:r>
        <w:t xml:space="preserve"> региональных инновационных площадок</w:t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20. Региональные инновационные площадки осуществляют свою  деятельность в соответствии с предлагавшейся к заявке программой реализации  проекта (программы).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21. Деятельность региональных инновационных площадок координир</w:t>
      </w:r>
      <w:r>
        <w:t xml:space="preserve">ует региональный оператор, определенный </w:t>
      </w:r>
      <w:r>
        <w:t xml:space="preserve">Департамент</w:t>
      </w:r>
      <w:r>
        <w:t xml:space="preserve">ом по каждому направлению инновационной деятельности.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Региональный оператор осуществляет: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организационно-аналитическое, консультативное и научно-методическое  сопровождение деятельности региональных инновацион</w:t>
      </w:r>
      <w:r>
        <w:t xml:space="preserve">ных площадок;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экспертизу ежегодных ответов о реализации проекта (программы);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составление заключений о значимости полученных результатов проекта  (программы) н возможных способах их использования в массовой практике;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предоставление в координационный с</w:t>
      </w:r>
      <w:r>
        <w:t xml:space="preserve">овет заключения о необходимости  прекращения (в т.ч. досрочного) деятельности или о продлении деятельности  региональной инновационной площадки.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22. Региональные инновационные площадки в рамках проекта (программы):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планируют свою деят</w:t>
      </w:r>
      <w:r>
        <w:t xml:space="preserve">ельность, при необходимости привлекая научных  консультантов;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осуществляют мониторинг реализуемого проекта (программы);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организуют своевременное и достоверное информационное сопровождение реализации проекта (программы), информируя родителей (законных </w:t>
      </w:r>
      <w:r>
        <w:t xml:space="preserve">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23. Региональные инновационные площадки: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 реализуют утвержденный проект (программу) в у</w:t>
      </w:r>
      <w:r>
        <w:t xml:space="preserve">становленные сроки;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обеспечива</w:t>
      </w:r>
      <w:r>
        <w:t xml:space="preserve">ют соблюдение прав и законных интересов участников  образовательного процесса;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- своевременно информирует Департамент о возникших проблемах, препятствующих  реализации проекта (программы), которые могут привести к невыполнению проек</w:t>
      </w:r>
      <w:r>
        <w:t xml:space="preserve">та (программы) или календарного плана работ; </w:t>
      </w:r>
      <w:r>
        <w:rPr>
          <w:highlight w:val="none"/>
        </w:rPr>
      </w:r>
    </w:p>
    <w:p>
      <w:pPr>
        <w:suppressLineNumbers w:val="0"/>
        <w:ind w:firstLine="720"/>
        <w:jc w:val="both"/>
      </w:pPr>
      <w:r>
        <w:t xml:space="preserve">24. Региональные инновационные площадки ежегодно в срок                         до 10 сентября года, следующего за отчетным периодом, представляют письменные отчеты о реализации проекта (программы) на экспертизу региональному операт</w:t>
      </w:r>
      <w:r>
        <w:t xml:space="preserve">ору. </w:t>
      </w:r>
      <w:r>
        <w:rPr>
          <w:highlight w:val="none"/>
        </w:rPr>
      </w:r>
    </w:p>
    <w:p>
      <w:pPr>
        <w:suppressLineNumbers w:val="0"/>
        <w:ind w:firstLine="720"/>
        <w:jc w:val="both"/>
        <w:rPr>
          <w:highlight w:val="none"/>
        </w:rPr>
      </w:pPr>
      <w:r>
        <w:t xml:space="preserve">25. Региональные инновационные площадки в срок до 10 октября года, следующего за отчетным периодом, размещают на своем официальном сайте в информационно-телекоммуникационной сети «Интернет» ежегодный отчет о реализации проекта (программы</w:t>
      </w:r>
      <w:r>
        <w:t xml:space="preserve">).</w:t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Segoe UI">
    <w:panose1 w:val="020B0502040204020203"/>
  </w:font>
  <w:font w:name="Andale Sans UI">
    <w:panose1 w:val="02000603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  <w:p>
    <w:pPr>
      <w:pStyle w:val="906"/>
      <w:rPr>
        <w:sz w:val="0"/>
        <w:szCs w:val="0"/>
      </w:rPr>
    </w:pPr>
    <w:r>
      <w:rPr>
        <w:sz w:val="0"/>
        <w:szCs w:val="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framePr w:h="638" w:wrap="none" w:vAnchor="text" w:hAnchor="margin" w:x="5843" w:y="-901" w:hRule="atLeast"/>
    </w:pPr>
    <w:r>
      <w:rPr>
        <w:rStyle w:val="949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949"/>
      </w:rPr>
      <w:t xml:space="preserve">1</w:t>
    </w:r>
    <w:r>
      <w:fldChar w:fldCharType="end"/>
    </w:r>
  </w:p>
  <w:p>
    <w:pPr>
      <w:pStyle w:val="906"/>
      <w:framePr w:h="638" w:wrap="none" w:vAnchor="text" w:hAnchor="margin" w:x="5843" w:y="-901" w:hRule="atLeast"/>
    </w:pPr>
    <w:r>
      <w:rPr>
        <w:rStyle w:val="949"/>
      </w:rPr>
      <w:t xml:space="preserve">к Методическим рекомендациям</w:t>
    </w:r>
  </w:p>
  <w:p>
    <w:pPr>
      <w:pStyle w:val="906"/>
      <w:rPr>
        <w:sz w:val="0"/>
        <w:szCs w:val="0"/>
      </w:rPr>
    </w:pPr>
    <w:r>
      <w:rPr>
        <w:sz w:val="0"/>
        <w:szCs w:val="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.3.%1."/>
      <w:lvlJc w:val="left"/>
      <w:pPr>
        <w:pStyle w:val="906"/>
      </w:pPr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654" w:hanging="945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tabs>
          <w:tab w:val="num" w:pos="360" w:leader="none"/>
        </w:tabs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6"/>
        <w:tabs>
          <w:tab w:val="num" w:pos="792" w:leader="none"/>
        </w:tabs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6"/>
        <w:tabs>
          <w:tab w:val="num" w:pos="1440" w:leader="none"/>
        </w:tabs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tabs>
          <w:tab w:val="num" w:pos="1800" w:leader="none"/>
        </w:tabs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tabs>
          <w:tab w:val="num" w:pos="2520" w:leader="none"/>
        </w:tabs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tabs>
          <w:tab w:val="num" w:pos="2880" w:leader="none"/>
        </w:tabs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tabs>
          <w:tab w:val="num" w:pos="3600" w:leader="none"/>
        </w:tabs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tabs>
          <w:tab w:val="num" w:pos="3960" w:leader="none"/>
        </w:tabs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tabs>
          <w:tab w:val="num" w:pos="4680" w:leader="none"/>
        </w:tabs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6"/>
      </w:pPr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59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</w:pPr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14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6"/>
        <w:ind w:left="942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6"/>
        <w:ind w:left="150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6"/>
        <w:ind w:left="186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6"/>
        <w:ind w:left="186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6"/>
        <w:ind w:left="222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6"/>
        <w:ind w:left="222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6"/>
        <w:ind w:left="258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6"/>
        <w:ind w:left="294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906"/>
      </w:pPr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669" w:hanging="9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669" w:hanging="9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</w:pPr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3.4.%1."/>
      <w:lvlJc w:val="left"/>
      <w:pPr>
        <w:pStyle w:val="906"/>
      </w:pPr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</w:pPr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3"/>
  </w:num>
  <w:num w:numId="5">
    <w:abstractNumId w:val="0"/>
  </w:num>
  <w:num w:numId="6">
    <w:abstractNumId w:val="21"/>
  </w:num>
  <w:num w:numId="7">
    <w:abstractNumId w:val="6"/>
  </w:num>
  <w:num w:numId="8">
    <w:abstractNumId w:val="14"/>
  </w:num>
  <w:num w:numId="9">
    <w:abstractNumId w:val="25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15"/>
  </w:num>
  <w:num w:numId="19">
    <w:abstractNumId w:val="7"/>
  </w:num>
  <w:num w:numId="20">
    <w:abstractNumId w:val="16"/>
  </w:num>
  <w:num w:numId="21">
    <w:abstractNumId w:val="2"/>
  </w:num>
  <w:num w:numId="22">
    <w:abstractNumId w:val="23"/>
  </w:num>
  <w:num w:numId="23">
    <w:abstractNumId w:val="24"/>
  </w:num>
  <w:num w:numId="24">
    <w:abstractNumId w:val="1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6"/>
    <w:next w:val="906"/>
    <w:link w:val="72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906"/>
    <w:next w:val="906"/>
    <w:link w:val="73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link w:val="730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906"/>
    <w:next w:val="906"/>
    <w:link w:val="73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906"/>
    <w:next w:val="906"/>
    <w:link w:val="73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906"/>
    <w:next w:val="906"/>
    <w:link w:val="73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906"/>
    <w:next w:val="906"/>
    <w:link w:val="73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906"/>
    <w:next w:val="906"/>
    <w:link w:val="74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906"/>
    <w:next w:val="906"/>
    <w:link w:val="74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906"/>
    <w:next w:val="906"/>
    <w:link w:val="74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List Paragraph"/>
    <w:basedOn w:val="906"/>
    <w:uiPriority w:val="34"/>
    <w:qFormat/>
    <w:pPr>
      <w:ind w:left="720"/>
      <w:contextualSpacing/>
    </w:p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6"/>
    <w:next w:val="906"/>
    <w:link w:val="74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49">
    <w:name w:val="Title Char"/>
    <w:link w:val="748"/>
    <w:uiPriority w:val="10"/>
    <w:rPr>
      <w:sz w:val="48"/>
      <w:szCs w:val="48"/>
    </w:rPr>
  </w:style>
  <w:style w:type="paragraph" w:styleId="750">
    <w:name w:val="Subtitle"/>
    <w:basedOn w:val="906"/>
    <w:next w:val="906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link w:val="750"/>
    <w:uiPriority w:val="11"/>
    <w:rPr>
      <w:sz w:val="24"/>
      <w:szCs w:val="24"/>
    </w:rPr>
  </w:style>
  <w:style w:type="paragraph" w:styleId="752">
    <w:name w:val="Quote"/>
    <w:basedOn w:val="906"/>
    <w:next w:val="906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6"/>
    <w:next w:val="906"/>
    <w:link w:val="75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6"/>
    <w:link w:val="75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57">
    <w:name w:val="Header Char"/>
    <w:link w:val="756"/>
    <w:uiPriority w:val="99"/>
  </w:style>
  <w:style w:type="paragraph" w:styleId="758">
    <w:name w:val="Footer"/>
    <w:basedOn w:val="906"/>
    <w:link w:val="76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59">
    <w:name w:val="Footer Char"/>
    <w:link w:val="758"/>
    <w:uiPriority w:val="99"/>
  </w:style>
  <w:style w:type="paragraph" w:styleId="760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9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9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0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0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0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0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spacing w:after="57"/>
      <w:ind w:left="0" w:right="0" w:firstLine="0"/>
    </w:pPr>
  </w:style>
  <w:style w:type="paragraph" w:styleId="896">
    <w:name w:val="toc 2"/>
    <w:basedOn w:val="906"/>
    <w:next w:val="906"/>
    <w:uiPriority w:val="39"/>
    <w:unhideWhenUsed/>
    <w:pPr>
      <w:spacing w:after="57"/>
      <w:ind w:left="283" w:right="0" w:firstLine="0"/>
    </w:pPr>
  </w:style>
  <w:style w:type="paragraph" w:styleId="897">
    <w:name w:val="toc 3"/>
    <w:basedOn w:val="906"/>
    <w:next w:val="906"/>
    <w:uiPriority w:val="39"/>
    <w:unhideWhenUsed/>
    <w:pPr>
      <w:spacing w:after="57"/>
      <w:ind w:left="567" w:right="0" w:firstLine="0"/>
    </w:pPr>
  </w:style>
  <w:style w:type="paragraph" w:styleId="898">
    <w:name w:val="toc 4"/>
    <w:basedOn w:val="906"/>
    <w:next w:val="906"/>
    <w:uiPriority w:val="39"/>
    <w:unhideWhenUsed/>
    <w:pPr>
      <w:spacing w:after="57"/>
      <w:ind w:left="850" w:right="0" w:firstLine="0"/>
    </w:pPr>
  </w:style>
  <w:style w:type="paragraph" w:styleId="899">
    <w:name w:val="toc 5"/>
    <w:basedOn w:val="906"/>
    <w:next w:val="906"/>
    <w:uiPriority w:val="39"/>
    <w:unhideWhenUsed/>
    <w:pPr>
      <w:spacing w:after="57"/>
      <w:ind w:left="1134" w:right="0" w:firstLine="0"/>
    </w:pPr>
  </w:style>
  <w:style w:type="paragraph" w:styleId="900">
    <w:name w:val="toc 6"/>
    <w:basedOn w:val="906"/>
    <w:next w:val="906"/>
    <w:uiPriority w:val="39"/>
    <w:unhideWhenUsed/>
    <w:pPr>
      <w:spacing w:after="57"/>
      <w:ind w:left="1417" w:right="0" w:firstLine="0"/>
    </w:pPr>
  </w:style>
  <w:style w:type="paragraph" w:styleId="901">
    <w:name w:val="toc 7"/>
    <w:basedOn w:val="906"/>
    <w:next w:val="906"/>
    <w:uiPriority w:val="39"/>
    <w:unhideWhenUsed/>
    <w:pPr>
      <w:spacing w:after="57"/>
      <w:ind w:left="1701" w:right="0" w:firstLine="0"/>
    </w:pPr>
  </w:style>
  <w:style w:type="paragraph" w:styleId="902">
    <w:name w:val="toc 8"/>
    <w:basedOn w:val="906"/>
    <w:next w:val="906"/>
    <w:uiPriority w:val="39"/>
    <w:unhideWhenUsed/>
    <w:pPr>
      <w:spacing w:after="57"/>
      <w:ind w:left="1984" w:right="0" w:firstLine="0"/>
    </w:pPr>
  </w:style>
  <w:style w:type="paragraph" w:styleId="903">
    <w:name w:val="toc 9"/>
    <w:basedOn w:val="906"/>
    <w:next w:val="906"/>
    <w:uiPriority w:val="39"/>
    <w:unhideWhenUsed/>
    <w:pPr>
      <w:spacing w:after="57"/>
      <w:ind w:left="2268" w:right="0" w:firstLine="0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next w:val="906"/>
    <w:link w:val="906"/>
    <w:qFormat/>
    <w:rPr>
      <w:sz w:val="28"/>
      <w:szCs w:val="28"/>
      <w:lang w:val="ru-RU" w:eastAsia="ru-RU" w:bidi="ar-SA"/>
    </w:rPr>
  </w:style>
  <w:style w:type="paragraph" w:styleId="907">
    <w:name w:val="Заголовок 1"/>
    <w:basedOn w:val="906"/>
    <w:next w:val="906"/>
    <w:link w:val="906"/>
    <w:qFormat/>
    <w:pPr>
      <w:keepNext/>
      <w:jc w:val="center"/>
      <w:outlineLvl w:val="0"/>
    </w:pPr>
    <w:rPr>
      <w:sz w:val="40"/>
      <w:szCs w:val="24"/>
    </w:rPr>
  </w:style>
  <w:style w:type="paragraph" w:styleId="908">
    <w:name w:val="Заголовок 2"/>
    <w:basedOn w:val="906"/>
    <w:next w:val="906"/>
    <w:link w:val="90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909">
    <w:name w:val="Заголовок 4"/>
    <w:basedOn w:val="906"/>
    <w:next w:val="906"/>
    <w:link w:val="906"/>
    <w:qFormat/>
    <w:pPr>
      <w:keepNext/>
      <w:spacing w:before="240" w:after="60"/>
      <w:outlineLvl w:val="3"/>
    </w:pPr>
    <w:rPr>
      <w:b/>
      <w:bCs/>
    </w:rPr>
  </w:style>
  <w:style w:type="character" w:styleId="910">
    <w:name w:val="Основной шрифт абзаца"/>
    <w:next w:val="910"/>
    <w:link w:val="906"/>
    <w:semiHidden/>
  </w:style>
  <w:style w:type="table" w:styleId="911">
    <w:name w:val="Обычная таблица"/>
    <w:next w:val="911"/>
    <w:link w:val="906"/>
    <w:semiHidden/>
    <w:tblPr/>
  </w:style>
  <w:style w:type="numbering" w:styleId="912">
    <w:name w:val="Нет списка"/>
    <w:next w:val="912"/>
    <w:link w:val="906"/>
    <w:uiPriority w:val="99"/>
    <w:semiHidden/>
  </w:style>
  <w:style w:type="paragraph" w:styleId="913">
    <w:name w:val="Название"/>
    <w:basedOn w:val="906"/>
    <w:next w:val="913"/>
    <w:link w:val="906"/>
    <w:qFormat/>
    <w:pPr>
      <w:jc w:val="center"/>
    </w:pPr>
    <w:rPr>
      <w:b/>
      <w:bCs/>
      <w:sz w:val="38"/>
      <w:szCs w:val="24"/>
    </w:rPr>
  </w:style>
  <w:style w:type="paragraph" w:styleId="914">
    <w:name w:val="ConsPlusNonformat"/>
    <w:next w:val="914"/>
    <w:link w:val="90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5">
    <w:name w:val="Гиперссылка"/>
    <w:basedOn w:val="910"/>
    <w:next w:val="915"/>
    <w:link w:val="906"/>
    <w:uiPriority w:val="99"/>
    <w:rPr>
      <w:color w:val="0000ff"/>
      <w:u w:val="single"/>
    </w:rPr>
  </w:style>
  <w:style w:type="paragraph" w:styleId="916">
    <w:name w:val="Текст выноски"/>
    <w:basedOn w:val="906"/>
    <w:next w:val="916"/>
    <w:link w:val="906"/>
    <w:semiHidden/>
    <w:rPr>
      <w:rFonts w:ascii="Tahoma" w:hAnsi="Tahoma" w:cs="Tahoma"/>
      <w:sz w:val="16"/>
      <w:szCs w:val="16"/>
    </w:rPr>
  </w:style>
  <w:style w:type="paragraph" w:styleId="917">
    <w:name w:val="Верхний колонтитул"/>
    <w:basedOn w:val="906"/>
    <w:next w:val="917"/>
    <w:link w:val="918"/>
    <w:uiPriority w:val="99"/>
    <w:pPr>
      <w:tabs>
        <w:tab w:val="center" w:pos="4677" w:leader="none"/>
        <w:tab w:val="right" w:pos="9355" w:leader="none"/>
      </w:tabs>
    </w:pPr>
  </w:style>
  <w:style w:type="character" w:styleId="918">
    <w:name w:val="Верхний колонтитул Знак"/>
    <w:basedOn w:val="910"/>
    <w:next w:val="918"/>
    <w:link w:val="917"/>
    <w:uiPriority w:val="99"/>
    <w:rPr>
      <w:sz w:val="28"/>
      <w:szCs w:val="28"/>
    </w:rPr>
  </w:style>
  <w:style w:type="character" w:styleId="919">
    <w:name w:val="Номер страницы"/>
    <w:basedOn w:val="910"/>
    <w:next w:val="919"/>
    <w:link w:val="906"/>
  </w:style>
  <w:style w:type="paragraph" w:styleId="920">
    <w:name w:val="Нижний колонтитул"/>
    <w:basedOn w:val="906"/>
    <w:next w:val="920"/>
    <w:link w:val="906"/>
    <w:pPr>
      <w:tabs>
        <w:tab w:val="center" w:pos="4677" w:leader="none"/>
        <w:tab w:val="right" w:pos="9355" w:leader="none"/>
      </w:tabs>
    </w:pPr>
  </w:style>
  <w:style w:type="table" w:styleId="921">
    <w:name w:val="Сетка таблицы"/>
    <w:basedOn w:val="911"/>
    <w:next w:val="921"/>
    <w:link w:val="906"/>
    <w:uiPriority w:val="59"/>
    <w:tblPr/>
  </w:style>
  <w:style w:type="paragraph" w:styleId="922">
    <w:name w:val="ConsPlusNormal"/>
    <w:next w:val="922"/>
    <w:link w:val="906"/>
    <w:pPr>
      <w:ind w:firstLine="720"/>
    </w:pPr>
    <w:rPr>
      <w:rFonts w:ascii="Arial" w:hAnsi="Arial" w:cs="Arial"/>
      <w:lang w:val="ru-RU" w:eastAsia="ru-RU" w:bidi="ar-SA"/>
    </w:rPr>
  </w:style>
  <w:style w:type="character" w:styleId="923">
    <w:name w:val="Знак сноски"/>
    <w:basedOn w:val="910"/>
    <w:next w:val="923"/>
    <w:link w:val="906"/>
    <w:uiPriority w:val="99"/>
    <w:unhideWhenUsed/>
    <w:rPr>
      <w:vertAlign w:val="superscript"/>
    </w:rPr>
  </w:style>
  <w:style w:type="paragraph" w:styleId="924">
    <w:name w:val="Текст сноски"/>
    <w:basedOn w:val="906"/>
    <w:next w:val="924"/>
    <w:link w:val="925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925">
    <w:name w:val="Текст сноски Знак"/>
    <w:basedOn w:val="910"/>
    <w:next w:val="925"/>
    <w:link w:val="924"/>
    <w:uiPriority w:val="99"/>
    <w:rPr>
      <w:rFonts w:ascii="Calibri" w:hAnsi="Calibri" w:eastAsia="Calibri"/>
      <w:lang w:eastAsia="en-US"/>
    </w:rPr>
  </w:style>
  <w:style w:type="paragraph" w:styleId="926">
    <w:name w:val="ConsPlusCell"/>
    <w:next w:val="926"/>
    <w:link w:val="906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927">
    <w:name w:val="Основной текст"/>
    <w:basedOn w:val="906"/>
    <w:next w:val="927"/>
    <w:link w:val="928"/>
    <w:uiPriority w:val="99"/>
    <w:pPr>
      <w:spacing w:line="360" w:lineRule="auto"/>
      <w:jc w:val="both"/>
    </w:pPr>
    <w:rPr>
      <w:sz w:val="24"/>
      <w:szCs w:val="24"/>
    </w:rPr>
  </w:style>
  <w:style w:type="character" w:styleId="928">
    <w:name w:val="Основной текст Знак"/>
    <w:basedOn w:val="910"/>
    <w:next w:val="928"/>
    <w:link w:val="927"/>
    <w:uiPriority w:val="99"/>
    <w:rPr>
      <w:sz w:val="24"/>
      <w:szCs w:val="24"/>
    </w:rPr>
  </w:style>
  <w:style w:type="paragraph" w:styleId="929">
    <w:name w:val="Обычный (веб)"/>
    <w:basedOn w:val="906"/>
    <w:next w:val="929"/>
    <w:link w:val="906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930">
    <w:name w:val=" Знак Знак1"/>
    <w:basedOn w:val="906"/>
    <w:next w:val="930"/>
    <w:link w:val="9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931">
    <w:name w:val="Стандартный HTML"/>
    <w:basedOn w:val="906"/>
    <w:next w:val="931"/>
    <w:link w:val="93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32">
    <w:name w:val="Стандартный HTML Знак"/>
    <w:basedOn w:val="910"/>
    <w:next w:val="932"/>
    <w:link w:val="931"/>
    <w:uiPriority w:val="99"/>
    <w:rPr>
      <w:rFonts w:ascii="Courier New" w:hAnsi="Courier New" w:cs="Courier New"/>
    </w:rPr>
  </w:style>
  <w:style w:type="paragraph" w:styleId="933">
    <w:name w:val="ConsPlusTitle"/>
    <w:next w:val="933"/>
    <w:link w:val="906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934">
    <w:name w:val="Основной текст с отступом"/>
    <w:basedOn w:val="906"/>
    <w:next w:val="934"/>
    <w:link w:val="9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styleId="935">
    <w:name w:val="Основной текст с отступом Знак"/>
    <w:basedOn w:val="910"/>
    <w:next w:val="935"/>
    <w:link w:val="934"/>
    <w:rPr>
      <w:rFonts w:ascii="Calibri" w:hAnsi="Calibri"/>
      <w:sz w:val="22"/>
      <w:szCs w:val="22"/>
    </w:rPr>
  </w:style>
  <w:style w:type="paragraph" w:styleId="936">
    <w:name w:val="Базовый"/>
    <w:next w:val="936"/>
    <w:link w:val="906"/>
    <w:pPr>
      <w:widowControl w:val="off"/>
      <w:tabs>
        <w:tab w:val="left" w:pos="706" w:leader="none"/>
      </w:tabs>
      <w:spacing w:after="200" w:line="276" w:lineRule="auto"/>
    </w:pPr>
    <w:rPr>
      <w:rFonts w:eastAsia="Andale Sans UI" w:cs="Tahoma"/>
      <w:sz w:val="24"/>
      <w:szCs w:val="24"/>
      <w:lang w:val="ru-RU" w:eastAsia="ru-RU" w:bidi="ru-RU"/>
    </w:rPr>
  </w:style>
  <w:style w:type="paragraph" w:styleId="937">
    <w:name w:val="О3fб3fы3fч3fн3fы3fй3f"/>
    <w:next w:val="937"/>
    <w:link w:val="906"/>
    <w:pPr>
      <w:spacing w:line="200" w:lineRule="atLeast"/>
    </w:pPr>
    <w:rPr>
      <w:rFonts w:ascii="Mangal" w:hAnsi="Mangal" w:eastAsia="Microsoft YaHei" w:cs="Mangal"/>
      <w:sz w:val="36"/>
      <w:szCs w:val="36"/>
      <w:lang w:val="ru-RU" w:eastAsia="ru-RU" w:bidi="ar-SA"/>
    </w:rPr>
  </w:style>
  <w:style w:type="character" w:styleId="938">
    <w:name w:val="Font Style14"/>
    <w:basedOn w:val="910"/>
    <w:next w:val="938"/>
    <w:link w:val="906"/>
    <w:rPr>
      <w:rFonts w:ascii="Times New Roman" w:hAnsi="Times New Roman" w:cs="Times New Roman"/>
      <w:spacing w:val="10"/>
      <w:sz w:val="22"/>
      <w:szCs w:val="22"/>
    </w:rPr>
  </w:style>
  <w:style w:type="paragraph" w:styleId="939">
    <w:name w:val="З3fа3fг3fо3fл3fо3fв3fо3fк3f и3f о3fб3fъ3fе3fк3fт3f~LT~Titel"/>
    <w:next w:val="939"/>
    <w:link w:val="906"/>
    <w:uiPriority w:val="99"/>
    <w:pPr>
      <w:spacing w:line="200" w:lineRule="atLeast"/>
    </w:pPr>
    <w:rPr>
      <w:rFonts w:ascii="Mangal" w:hAnsi="Mangal" w:eastAsia="Microsoft YaHei" w:cs="Mangal"/>
      <w:color w:val="000000"/>
      <w:sz w:val="36"/>
      <w:szCs w:val="36"/>
      <w:lang w:val="ru-RU" w:eastAsia="ru-RU" w:bidi="ar-SA"/>
    </w:rPr>
  </w:style>
  <w:style w:type="paragraph" w:styleId="940">
    <w:name w:val="Абзац списка"/>
    <w:basedOn w:val="906"/>
    <w:next w:val="940"/>
    <w:link w:val="906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41">
    <w:name w:val="Font Style301"/>
    <w:basedOn w:val="910"/>
    <w:next w:val="941"/>
    <w:link w:val="906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942">
    <w:name w:val="Основной текст (16)"/>
    <w:basedOn w:val="910"/>
    <w:next w:val="942"/>
    <w:link w:val="906"/>
    <w:rPr>
      <w:rFonts w:ascii="Times New Roman" w:hAnsi="Times New Roman" w:eastAsia="Times New Roman" w:cs="Times New Roman"/>
      <w:sz w:val="24"/>
      <w:szCs w:val="24"/>
    </w:rPr>
  </w:style>
  <w:style w:type="character" w:styleId="943">
    <w:name w:val="Основной текст (2)"/>
    <w:basedOn w:val="910"/>
    <w:next w:val="943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44">
    <w:name w:val="Заголовок №2"/>
    <w:basedOn w:val="910"/>
    <w:next w:val="944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45">
    <w:name w:val="Основной текст (4)"/>
    <w:basedOn w:val="910"/>
    <w:next w:val="945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46">
    <w:name w:val="Основной текст (5)"/>
    <w:basedOn w:val="910"/>
    <w:next w:val="946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47">
    <w:name w:val="Основной текст (6)"/>
    <w:basedOn w:val="910"/>
    <w:next w:val="947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48">
    <w:name w:val="Колонтитул"/>
    <w:basedOn w:val="910"/>
    <w:next w:val="948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49">
    <w:name w:val="Колонтитул + 14 pt"/>
    <w:basedOn w:val="948"/>
    <w:next w:val="949"/>
    <w:link w:val="906"/>
    <w:rPr>
      <w:sz w:val="28"/>
      <w:szCs w:val="28"/>
    </w:rPr>
  </w:style>
  <w:style w:type="character" w:styleId="950">
    <w:name w:val="Основной текст (2) + 15 pt;Курсив"/>
    <w:basedOn w:val="943"/>
    <w:next w:val="950"/>
    <w:link w:val="906"/>
    <w:rPr>
      <w:i/>
      <w:iCs/>
      <w:sz w:val="30"/>
      <w:szCs w:val="30"/>
    </w:rPr>
  </w:style>
  <w:style w:type="character" w:styleId="951">
    <w:name w:val="Основной текст (4) + Курсив"/>
    <w:basedOn w:val="945"/>
    <w:next w:val="951"/>
    <w:link w:val="906"/>
    <w:rPr>
      <w:i/>
      <w:iCs/>
    </w:rPr>
  </w:style>
  <w:style w:type="character" w:styleId="952">
    <w:name w:val="Основной текст (5) + Курсив"/>
    <w:basedOn w:val="946"/>
    <w:next w:val="952"/>
    <w:link w:val="906"/>
    <w:rPr>
      <w:i/>
      <w:iCs/>
    </w:rPr>
  </w:style>
  <w:style w:type="character" w:styleId="953">
    <w:name w:val="Основной текст (11)"/>
    <w:basedOn w:val="910"/>
    <w:next w:val="953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54">
    <w:name w:val="Основной текст (15)"/>
    <w:basedOn w:val="910"/>
    <w:next w:val="954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55">
    <w:name w:val="Основной текст (24)"/>
    <w:basedOn w:val="910"/>
    <w:next w:val="955"/>
    <w:link w:val="906"/>
    <w:rPr>
      <w:rFonts w:ascii="Times New Roman" w:hAnsi="Times New Roman" w:eastAsia="Times New Roman" w:cs="Times New Roman"/>
      <w:sz w:val="28"/>
      <w:szCs w:val="28"/>
    </w:rPr>
  </w:style>
  <w:style w:type="character" w:styleId="956">
    <w:name w:val="Основной текст (18)"/>
    <w:basedOn w:val="910"/>
    <w:next w:val="956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57">
    <w:name w:val="Основной текст (19)"/>
    <w:basedOn w:val="910"/>
    <w:next w:val="957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58">
    <w:name w:val="Основной текст (20)"/>
    <w:basedOn w:val="910"/>
    <w:next w:val="958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59">
    <w:name w:val="Основной текст (21)"/>
    <w:basedOn w:val="910"/>
    <w:next w:val="959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60">
    <w:name w:val="Основной текст (22)"/>
    <w:basedOn w:val="910"/>
    <w:next w:val="960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61">
    <w:name w:val="Основной текст (23)"/>
    <w:basedOn w:val="910"/>
    <w:next w:val="961"/>
    <w:link w:val="906"/>
    <w:rPr>
      <w:rFonts w:ascii="Times New Roman" w:hAnsi="Times New Roman" w:eastAsia="Times New Roman" w:cs="Times New Roman"/>
      <w:sz w:val="20"/>
      <w:szCs w:val="20"/>
    </w:rPr>
  </w:style>
  <w:style w:type="character" w:styleId="962">
    <w:name w:val="Заголовок №1_"/>
    <w:basedOn w:val="910"/>
    <w:next w:val="962"/>
    <w:link w:val="966"/>
    <w:rPr>
      <w:b/>
      <w:bCs/>
      <w:sz w:val="28"/>
      <w:szCs w:val="28"/>
      <w:shd w:val="clear" w:color="auto" w:fill="ffffff"/>
    </w:rPr>
  </w:style>
  <w:style w:type="character" w:styleId="963">
    <w:name w:val="Основной текст (2) + Курсив"/>
    <w:basedOn w:val="910"/>
    <w:next w:val="963"/>
    <w:link w:val="906"/>
    <w:rPr>
      <w:rFonts w:ascii="Times New Roman" w:hAnsi="Times New Roman" w:eastAsia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64">
    <w:name w:val="Основной текст (4)_"/>
    <w:basedOn w:val="910"/>
    <w:next w:val="964"/>
    <w:link w:val="906"/>
    <w:rPr>
      <w:rFonts w:ascii="Times New Roman" w:hAnsi="Times New Roman" w:eastAsia="Times New Roman" w:cs="Times New Roman"/>
      <w:i/>
      <w:iCs/>
      <w:sz w:val="28"/>
      <w:szCs w:val="28"/>
      <w:shd w:val="clear" w:color="auto" w:fill="ffffff"/>
    </w:rPr>
  </w:style>
  <w:style w:type="character" w:styleId="965">
    <w:name w:val="Основной текст (4) + Не курсив"/>
    <w:basedOn w:val="964"/>
    <w:next w:val="965"/>
    <w:link w:val="906"/>
    <w:rPr>
      <w:color w:val="000000"/>
      <w:spacing w:val="0"/>
      <w:position w:val="0"/>
      <w:lang w:val="ru-RU" w:eastAsia="ru-RU" w:bidi="ru-RU"/>
    </w:rPr>
  </w:style>
  <w:style w:type="paragraph" w:styleId="966">
    <w:name w:val="Заголовок №1"/>
    <w:basedOn w:val="906"/>
    <w:next w:val="966"/>
    <w:link w:val="962"/>
    <w:pPr>
      <w:widowControl w:val="off"/>
      <w:shd w:val="clear" w:color="auto" w:fill="ffffff"/>
      <w:spacing w:after="300" w:line="322" w:lineRule="exact"/>
      <w:ind w:hanging="780"/>
      <w:outlineLvl w:val="0"/>
    </w:pPr>
    <w:rPr>
      <w:b/>
      <w:bCs/>
    </w:rPr>
  </w:style>
  <w:style w:type="character" w:styleId="967">
    <w:name w:val="Текст сноски Знак1"/>
    <w:basedOn w:val="910"/>
    <w:next w:val="967"/>
    <w:link w:val="906"/>
    <w:uiPriority w:val="99"/>
    <w:semiHidden/>
    <w:rPr>
      <w:rFonts w:ascii="Calibri" w:hAnsi="Calibri" w:eastAsia="Segoe UI" w:cs="Tahoma"/>
      <w:sz w:val="20"/>
      <w:szCs w:val="20"/>
      <w:lang w:eastAsia="ru-RU"/>
    </w:rPr>
  </w:style>
  <w:style w:type="character" w:styleId="968" w:default="1">
    <w:name w:val="Default Paragraph Font"/>
    <w:uiPriority w:val="1"/>
    <w:semiHidden/>
    <w:unhideWhenUsed/>
  </w:style>
  <w:style w:type="numbering" w:styleId="969" w:default="1">
    <w:name w:val="No List"/>
    <w:uiPriority w:val="99"/>
    <w:semiHidden/>
    <w:unhideWhenUsed/>
  </w:style>
  <w:style w:type="table" w:styleId="9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Правительство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revision>471</cp:revision>
  <dcterms:created xsi:type="dcterms:W3CDTF">2018-02-26T00:04:00Z</dcterms:created>
  <dcterms:modified xsi:type="dcterms:W3CDTF">2023-08-24T23:01:47Z</dcterms:modified>
  <cp:version>786432</cp:version>
</cp:coreProperties>
</file>