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06" w:rsidRPr="00650058" w:rsidRDefault="00864AAD" w:rsidP="00864AAD">
      <w:pPr>
        <w:spacing w:after="0" w:line="360" w:lineRule="auto"/>
        <w:ind w:firstLine="567"/>
        <w:jc w:val="center"/>
        <w:rPr>
          <w:rFonts w:ascii="Times New Roman" w:hAnsi="Times New Roman"/>
          <w:b/>
          <w:sz w:val="28"/>
          <w:szCs w:val="28"/>
        </w:rPr>
      </w:pPr>
      <w:r w:rsidRPr="00650058">
        <w:rPr>
          <w:rFonts w:ascii="Times New Roman" w:hAnsi="Times New Roman"/>
          <w:b/>
          <w:sz w:val="28"/>
          <w:szCs w:val="28"/>
        </w:rPr>
        <w:t>Дополнительное образование</w:t>
      </w:r>
    </w:p>
    <w:p w:rsidR="009E2F86" w:rsidRPr="00650058" w:rsidRDefault="009E2F86" w:rsidP="009E2F86">
      <w:pPr>
        <w:pStyle w:val="formattext"/>
        <w:shd w:val="clear" w:color="auto" w:fill="FFFFFF"/>
        <w:spacing w:before="0" w:beforeAutospacing="0" w:after="0" w:afterAutospacing="0"/>
        <w:ind w:firstLine="709"/>
        <w:jc w:val="both"/>
        <w:textAlignment w:val="baseline"/>
        <w:rPr>
          <w:sz w:val="28"/>
          <w:szCs w:val="28"/>
          <w:shd w:val="clear" w:color="auto" w:fill="FFFFFF"/>
        </w:rPr>
      </w:pPr>
      <w:r w:rsidRPr="00650058">
        <w:rPr>
          <w:sz w:val="28"/>
          <w:szCs w:val="28"/>
          <w:shd w:val="clear" w:color="auto" w:fill="FFFFFF"/>
        </w:rPr>
        <w:t xml:space="preserve">Организационной основой развития образования, в том числе дополнительного образования, на территории Еврейской автономной области, определяющей стратегию его дальнейшего развития, является государственная программа Еврейской автономной области «Развитие образования Еврейской автономной области» на 2018 - 2024 годы, в которой </w:t>
      </w:r>
      <w:r w:rsidRPr="00650058">
        <w:rPr>
          <w:color w:val="000000"/>
          <w:sz w:val="28"/>
          <w:szCs w:val="28"/>
        </w:rPr>
        <w:t>определены задачи по созданию условий для развития творческого и научного потенциала обучающихся, выстраивания системы выявления, сопровождения и адресной поддержки талантливых детей.</w:t>
      </w:r>
    </w:p>
    <w:p w:rsidR="009E2F86" w:rsidRPr="00650058" w:rsidRDefault="009E2F86" w:rsidP="009E2F86">
      <w:pPr>
        <w:pStyle w:val="formattext"/>
        <w:shd w:val="clear" w:color="auto" w:fill="FFFFFF"/>
        <w:spacing w:before="0" w:beforeAutospacing="0" w:after="0" w:afterAutospacing="0"/>
        <w:ind w:firstLine="709"/>
        <w:jc w:val="both"/>
        <w:textAlignment w:val="baseline"/>
        <w:rPr>
          <w:sz w:val="28"/>
          <w:szCs w:val="28"/>
        </w:rPr>
      </w:pPr>
      <w:r w:rsidRPr="00650058">
        <w:rPr>
          <w:sz w:val="28"/>
          <w:szCs w:val="28"/>
        </w:rPr>
        <w:t>На территории области программы дополнительного об</w:t>
      </w:r>
      <w:r w:rsidR="00E65C00" w:rsidRPr="00650058">
        <w:rPr>
          <w:sz w:val="28"/>
          <w:szCs w:val="28"/>
        </w:rPr>
        <w:t>разования детей реализуются в 95</w:t>
      </w:r>
      <w:r w:rsidR="00650058">
        <w:rPr>
          <w:sz w:val="28"/>
          <w:szCs w:val="28"/>
        </w:rPr>
        <w:t xml:space="preserve"> организациях</w:t>
      </w:r>
      <w:r w:rsidRPr="00650058">
        <w:rPr>
          <w:sz w:val="28"/>
          <w:szCs w:val="28"/>
        </w:rPr>
        <w:t>, из них в 20 организациях дополнительного образования детей, в том числе в системе образования - 10 организаций (5 центров, дом детского творчества, дом школьника, детско-юношеская спортивная школа, детский технопарк), в системе культуры - 9 организаций, в системе физ</w:t>
      </w:r>
      <w:r w:rsidR="00E41127" w:rsidRPr="00650058">
        <w:rPr>
          <w:sz w:val="28"/>
          <w:szCs w:val="28"/>
        </w:rPr>
        <w:t xml:space="preserve">ической </w:t>
      </w:r>
      <w:r w:rsidRPr="00650058">
        <w:rPr>
          <w:sz w:val="28"/>
          <w:szCs w:val="28"/>
        </w:rPr>
        <w:t>культуры и спорта - 1.</w:t>
      </w:r>
      <w:r w:rsidR="002B0185" w:rsidRPr="00650058">
        <w:rPr>
          <w:sz w:val="28"/>
          <w:szCs w:val="28"/>
        </w:rPr>
        <w:t xml:space="preserve"> </w:t>
      </w:r>
    </w:p>
    <w:p w:rsidR="00E65C00" w:rsidRPr="00650058" w:rsidRDefault="00E65C00" w:rsidP="009E2F86">
      <w:pPr>
        <w:pStyle w:val="formattext"/>
        <w:shd w:val="clear" w:color="auto" w:fill="FFFFFF"/>
        <w:spacing w:before="0" w:beforeAutospacing="0" w:after="0" w:afterAutospacing="0"/>
        <w:ind w:firstLine="709"/>
        <w:jc w:val="both"/>
        <w:textAlignment w:val="baseline"/>
        <w:rPr>
          <w:sz w:val="28"/>
          <w:szCs w:val="28"/>
        </w:rPr>
      </w:pPr>
      <w:r w:rsidRPr="00650058">
        <w:rPr>
          <w:sz w:val="28"/>
          <w:szCs w:val="28"/>
        </w:rPr>
        <w:t>Кроме организаций дополнительного образования поставщиками образовательных услуг являются</w:t>
      </w:r>
      <w:r w:rsidR="006D50A4" w:rsidRPr="00650058">
        <w:rPr>
          <w:sz w:val="28"/>
          <w:szCs w:val="28"/>
        </w:rPr>
        <w:t xml:space="preserve"> общеобразовательные организации, профессиональные образовательные организации, дошкольные образовательные организации, индивидуальные предприниматели, частные организации. Из 95 организаций, реализующих программы дополнительного образования 91 относится к государственному (муниципальному) сектору, 4 – к </w:t>
      </w:r>
      <w:r w:rsidR="002B0185" w:rsidRPr="00650058">
        <w:rPr>
          <w:sz w:val="28"/>
          <w:szCs w:val="28"/>
        </w:rPr>
        <w:t>негосударственному; 66 расположены в городской местности, 29 – в сельской.</w:t>
      </w:r>
    </w:p>
    <w:p w:rsidR="00E41127" w:rsidRPr="00650058" w:rsidRDefault="006D50A4" w:rsidP="002B0185">
      <w:pPr>
        <w:ind w:firstLine="709"/>
        <w:jc w:val="both"/>
        <w:rPr>
          <w:rFonts w:ascii="Times New Roman" w:hAnsi="Times New Roman"/>
          <w:sz w:val="28"/>
          <w:szCs w:val="28"/>
        </w:rPr>
      </w:pPr>
      <w:r w:rsidRPr="00650058">
        <w:rPr>
          <w:rFonts w:ascii="Times New Roman" w:hAnsi="Times New Roman"/>
          <w:sz w:val="28"/>
          <w:szCs w:val="28"/>
        </w:rPr>
        <w:t>За последние 3 года наблюдается положительная динамика по достижению значения показателя «Доля детей в возрасте от 5 до 18 лет, охваченных услугами дополнительного образования» в рамках федерального проекта «Успех каждого ребенка» национального проекта «Образование».</w:t>
      </w:r>
      <w:r w:rsidR="002B0185" w:rsidRPr="00650058">
        <w:rPr>
          <w:rFonts w:ascii="Times New Roman" w:hAnsi="Times New Roman"/>
          <w:sz w:val="28"/>
          <w:szCs w:val="28"/>
        </w:rPr>
        <w:t xml:space="preserve"> </w:t>
      </w:r>
      <w:r w:rsidR="009E2F86" w:rsidRPr="00650058">
        <w:rPr>
          <w:rFonts w:ascii="Times New Roman" w:hAnsi="Times New Roman"/>
          <w:sz w:val="28"/>
          <w:szCs w:val="28"/>
        </w:rPr>
        <w:t xml:space="preserve">Охват детей в возрасте от 5 до 18 лет всеми формами дополнительного образования и спортивной подготовки по итогам 2021 года составил 77,9%, что на 4,9% выше предыдущего года. </w:t>
      </w:r>
    </w:p>
    <w:p w:rsidR="00E41127" w:rsidRPr="00650058" w:rsidRDefault="00E41127" w:rsidP="00E41127">
      <w:pPr>
        <w:ind w:firstLine="709"/>
        <w:jc w:val="center"/>
        <w:rPr>
          <w:rFonts w:ascii="Times New Roman" w:hAnsi="Times New Roman"/>
          <w:sz w:val="28"/>
          <w:szCs w:val="28"/>
        </w:rPr>
      </w:pPr>
      <w:r w:rsidRPr="00650058">
        <w:rPr>
          <w:rFonts w:ascii="Times New Roman" w:hAnsi="Times New Roman"/>
          <w:b/>
          <w:noProof/>
          <w:sz w:val="28"/>
          <w:szCs w:val="28"/>
          <w:lang w:eastAsia="ru-RU"/>
        </w:rPr>
        <w:drawing>
          <wp:inline distT="0" distB="0" distL="0" distR="0" wp14:anchorId="2F79327F" wp14:editId="5792F233">
            <wp:extent cx="2552700" cy="24288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0058" w:rsidRPr="00650058" w:rsidRDefault="009E2F86" w:rsidP="00650058">
      <w:pPr>
        <w:spacing w:after="0"/>
        <w:ind w:firstLine="709"/>
        <w:jc w:val="both"/>
        <w:rPr>
          <w:rFonts w:ascii="Times New Roman" w:hAnsi="Times New Roman"/>
          <w:sz w:val="28"/>
          <w:szCs w:val="28"/>
        </w:rPr>
      </w:pPr>
      <w:r w:rsidRPr="00650058">
        <w:rPr>
          <w:rFonts w:ascii="Times New Roman" w:hAnsi="Times New Roman"/>
          <w:sz w:val="28"/>
          <w:szCs w:val="28"/>
        </w:rPr>
        <w:t xml:space="preserve"> </w:t>
      </w:r>
      <w:r w:rsidR="00650058" w:rsidRPr="00650058">
        <w:rPr>
          <w:rFonts w:ascii="Times New Roman" w:hAnsi="Times New Roman"/>
          <w:sz w:val="28"/>
          <w:szCs w:val="28"/>
        </w:rPr>
        <w:t>В сентября 2021 года в регионе работает навигатор дополнительного образования Еврейской автономной области (</w:t>
      </w:r>
      <w:hyperlink r:id="rId8" w:history="1">
        <w:r w:rsidR="00650058" w:rsidRPr="00650058">
          <w:rPr>
            <w:rStyle w:val="aa"/>
            <w:rFonts w:ascii="Times New Roman" w:hAnsi="Times New Roman"/>
            <w:sz w:val="28"/>
            <w:szCs w:val="28"/>
          </w:rPr>
          <w:t>https://xn--79-kmc.xn--</w:t>
        </w:r>
        <w:r w:rsidR="00650058" w:rsidRPr="00650058">
          <w:rPr>
            <w:rStyle w:val="aa"/>
            <w:rFonts w:ascii="Times New Roman" w:hAnsi="Times New Roman"/>
            <w:sz w:val="28"/>
            <w:szCs w:val="28"/>
          </w:rPr>
          <w:lastRenderedPageBreak/>
          <w:t>80aafey1amqq.xn--d1acj3b/</w:t>
        </w:r>
      </w:hyperlink>
      <w:r w:rsidR="00650058" w:rsidRPr="00650058">
        <w:rPr>
          <w:rFonts w:ascii="Times New Roman" w:hAnsi="Times New Roman"/>
          <w:sz w:val="28"/>
          <w:szCs w:val="28"/>
        </w:rPr>
        <w:t>). На платформе размещаются дополнительные образовательные программы, в том числе адаптированные дополнительные образовательные программы для детей с ОВЗ.</w:t>
      </w:r>
    </w:p>
    <w:p w:rsidR="009936B6" w:rsidRPr="00650058" w:rsidRDefault="009E2F86" w:rsidP="009936B6">
      <w:pPr>
        <w:pStyle w:val="Style8"/>
        <w:widowControl/>
        <w:spacing w:line="240" w:lineRule="auto"/>
        <w:ind w:firstLine="723"/>
        <w:rPr>
          <w:sz w:val="28"/>
          <w:szCs w:val="28"/>
        </w:rPr>
      </w:pPr>
      <w:r w:rsidRPr="00650058">
        <w:rPr>
          <w:bCs/>
          <w:sz w:val="28"/>
          <w:szCs w:val="28"/>
        </w:rPr>
        <w:t xml:space="preserve">В регионе реализуются </w:t>
      </w:r>
      <w:r w:rsidR="004640D2" w:rsidRPr="00650058">
        <w:rPr>
          <w:bCs/>
          <w:sz w:val="28"/>
          <w:szCs w:val="28"/>
        </w:rPr>
        <w:t xml:space="preserve">дополнительные общеобразовательные программы по </w:t>
      </w:r>
      <w:r w:rsidR="009936B6" w:rsidRPr="00650058">
        <w:rPr>
          <w:bCs/>
          <w:sz w:val="28"/>
          <w:szCs w:val="28"/>
        </w:rPr>
        <w:t xml:space="preserve">6 направлениям. </w:t>
      </w:r>
      <w:r w:rsidR="009936B6" w:rsidRPr="00650058">
        <w:rPr>
          <w:sz w:val="28"/>
          <w:szCs w:val="28"/>
        </w:rPr>
        <w:t>Доля детей в возрасте от 5 до 18 лет, обучающихся по дополнительным общеобразовательным программам технического направления, составляет 12,5%, художественного – 26,9%, естественнонаучного– 5,6%, туристско-краеведческого – 1,7%, социально-гуманитарного – 36%, физкультурно-спортивного – 22,8%.</w:t>
      </w:r>
    </w:p>
    <w:p w:rsidR="009936B6" w:rsidRPr="00650058" w:rsidRDefault="009E2F86" w:rsidP="00CC567A">
      <w:pPr>
        <w:spacing w:after="0"/>
        <w:ind w:firstLine="709"/>
        <w:jc w:val="both"/>
        <w:rPr>
          <w:rFonts w:ascii="Times New Roman" w:hAnsi="Times New Roman"/>
          <w:sz w:val="28"/>
          <w:szCs w:val="28"/>
        </w:rPr>
      </w:pPr>
      <w:r w:rsidRPr="00650058">
        <w:rPr>
          <w:rFonts w:ascii="Times New Roman" w:hAnsi="Times New Roman"/>
          <w:sz w:val="28"/>
          <w:szCs w:val="28"/>
        </w:rPr>
        <w:t xml:space="preserve">Анализ системы дополнительного образования Еврейской автономной области показал потребность в создании объединений технической и естественнонаучной направленности на фоне высокой удовлетворенности наличием объединений художественной и физкультурно-спортивной направленности. </w:t>
      </w:r>
      <w:r w:rsidRPr="00650058">
        <w:rPr>
          <w:rStyle w:val="FontStyle49"/>
          <w:sz w:val="28"/>
          <w:szCs w:val="28"/>
        </w:rPr>
        <w:t xml:space="preserve">Для решения данного вопроса Еврейская автономная область прошла процедуру конкурсного отбора субъектов Российской Федерации на предоставление в 2019 году субсидии из федерального бюджета бюджетам субъектов Российской Федерации на создание детских технопарков «Кванториум» в рамках федерального проекта «Успех каждого ребенка» национального проекта «Образование». </w:t>
      </w:r>
      <w:r w:rsidRPr="00650058">
        <w:rPr>
          <w:rFonts w:ascii="Times New Roman" w:hAnsi="Times New Roman"/>
          <w:sz w:val="28"/>
          <w:szCs w:val="28"/>
        </w:rPr>
        <w:t xml:space="preserve">В 2019 году открылся детский технопарк «Кванториум» в г. Биробиджане, численность обучающихся </w:t>
      </w:r>
      <w:r w:rsidR="009936B6" w:rsidRPr="00650058">
        <w:rPr>
          <w:rFonts w:ascii="Times New Roman" w:hAnsi="Times New Roman"/>
          <w:sz w:val="28"/>
          <w:szCs w:val="28"/>
        </w:rPr>
        <w:t>по итогам 2021 года составила 901</w:t>
      </w:r>
      <w:r w:rsidRPr="00650058">
        <w:rPr>
          <w:rFonts w:ascii="Times New Roman" w:hAnsi="Times New Roman"/>
          <w:sz w:val="28"/>
          <w:szCs w:val="28"/>
        </w:rPr>
        <w:t xml:space="preserve"> человек, численность детей, вовлеченных в деятельность дет</w:t>
      </w:r>
      <w:r w:rsidR="009936B6" w:rsidRPr="00650058">
        <w:rPr>
          <w:rFonts w:ascii="Times New Roman" w:hAnsi="Times New Roman"/>
          <w:sz w:val="28"/>
          <w:szCs w:val="28"/>
        </w:rPr>
        <w:t>ского технопарка через организацию мероприятий, составила 4501</w:t>
      </w:r>
      <w:r w:rsidRPr="00650058">
        <w:rPr>
          <w:rFonts w:ascii="Times New Roman" w:hAnsi="Times New Roman"/>
          <w:sz w:val="28"/>
          <w:szCs w:val="28"/>
        </w:rPr>
        <w:t xml:space="preserve"> человек. </w:t>
      </w:r>
      <w:r w:rsidR="009936B6" w:rsidRPr="00650058">
        <w:rPr>
          <w:rFonts w:ascii="Times New Roman" w:hAnsi="Times New Roman"/>
          <w:sz w:val="28"/>
          <w:szCs w:val="28"/>
        </w:rPr>
        <w:t xml:space="preserve">Деятельность </w:t>
      </w:r>
      <w:proofErr w:type="spellStart"/>
      <w:r w:rsidR="009936B6" w:rsidRPr="00650058">
        <w:rPr>
          <w:rFonts w:ascii="Times New Roman" w:hAnsi="Times New Roman"/>
          <w:sz w:val="28"/>
          <w:szCs w:val="28"/>
        </w:rPr>
        <w:t>Кванториума</w:t>
      </w:r>
      <w:proofErr w:type="spellEnd"/>
      <w:r w:rsidR="009936B6" w:rsidRPr="00650058">
        <w:rPr>
          <w:rFonts w:ascii="Times New Roman" w:hAnsi="Times New Roman"/>
          <w:sz w:val="28"/>
          <w:szCs w:val="28"/>
        </w:rPr>
        <w:t xml:space="preserve"> в 2020 году велась по 6 основным образовательным направлениям (</w:t>
      </w:r>
      <w:proofErr w:type="spellStart"/>
      <w:r w:rsidR="009936B6" w:rsidRPr="00650058">
        <w:rPr>
          <w:rFonts w:ascii="Times New Roman" w:hAnsi="Times New Roman"/>
          <w:sz w:val="28"/>
          <w:szCs w:val="28"/>
        </w:rPr>
        <w:t>геоквантум</w:t>
      </w:r>
      <w:proofErr w:type="spellEnd"/>
      <w:r w:rsidR="009936B6" w:rsidRPr="00650058">
        <w:rPr>
          <w:rFonts w:ascii="Times New Roman" w:hAnsi="Times New Roman"/>
          <w:sz w:val="28"/>
          <w:szCs w:val="28"/>
        </w:rPr>
        <w:t>, VR/</w:t>
      </w:r>
      <w:r w:rsidR="009936B6" w:rsidRPr="00650058">
        <w:rPr>
          <w:rFonts w:ascii="Times New Roman" w:hAnsi="Times New Roman"/>
          <w:sz w:val="28"/>
          <w:szCs w:val="28"/>
          <w:lang w:val="en-US"/>
        </w:rPr>
        <w:t>AR</w:t>
      </w:r>
      <w:r w:rsidR="009936B6" w:rsidRPr="00650058">
        <w:rPr>
          <w:rFonts w:ascii="Times New Roman" w:hAnsi="Times New Roman"/>
          <w:sz w:val="28"/>
          <w:szCs w:val="28"/>
        </w:rPr>
        <w:t>-</w:t>
      </w:r>
      <w:proofErr w:type="spellStart"/>
      <w:r w:rsidR="009936B6" w:rsidRPr="00650058">
        <w:rPr>
          <w:rFonts w:ascii="Times New Roman" w:hAnsi="Times New Roman"/>
          <w:sz w:val="28"/>
          <w:szCs w:val="28"/>
        </w:rPr>
        <w:t>квантум</w:t>
      </w:r>
      <w:proofErr w:type="spellEnd"/>
      <w:r w:rsidR="009936B6" w:rsidRPr="00650058">
        <w:rPr>
          <w:rFonts w:ascii="Times New Roman" w:hAnsi="Times New Roman"/>
          <w:sz w:val="28"/>
          <w:szCs w:val="28"/>
        </w:rPr>
        <w:t xml:space="preserve">, </w:t>
      </w:r>
      <w:proofErr w:type="spellStart"/>
      <w:r w:rsidR="009936B6" w:rsidRPr="00650058">
        <w:rPr>
          <w:rFonts w:ascii="Times New Roman" w:hAnsi="Times New Roman"/>
          <w:sz w:val="28"/>
          <w:szCs w:val="28"/>
        </w:rPr>
        <w:t>промробоквантум</w:t>
      </w:r>
      <w:proofErr w:type="spellEnd"/>
      <w:r w:rsidR="009936B6" w:rsidRPr="00650058">
        <w:rPr>
          <w:rFonts w:ascii="Times New Roman" w:hAnsi="Times New Roman"/>
          <w:sz w:val="28"/>
          <w:szCs w:val="28"/>
        </w:rPr>
        <w:t xml:space="preserve">, </w:t>
      </w:r>
      <w:proofErr w:type="spellStart"/>
      <w:r w:rsidR="009936B6" w:rsidRPr="00650058">
        <w:rPr>
          <w:rFonts w:ascii="Times New Roman" w:hAnsi="Times New Roman"/>
          <w:sz w:val="28"/>
          <w:szCs w:val="28"/>
        </w:rPr>
        <w:t>энерджиквантум</w:t>
      </w:r>
      <w:proofErr w:type="spellEnd"/>
      <w:r w:rsidR="009936B6" w:rsidRPr="00650058">
        <w:rPr>
          <w:rFonts w:ascii="Times New Roman" w:hAnsi="Times New Roman"/>
          <w:sz w:val="28"/>
          <w:szCs w:val="28"/>
        </w:rPr>
        <w:t>, IT-</w:t>
      </w:r>
      <w:proofErr w:type="spellStart"/>
      <w:r w:rsidR="009936B6" w:rsidRPr="00650058">
        <w:rPr>
          <w:rFonts w:ascii="Times New Roman" w:hAnsi="Times New Roman"/>
          <w:sz w:val="28"/>
          <w:szCs w:val="28"/>
        </w:rPr>
        <w:t>квантум</w:t>
      </w:r>
      <w:proofErr w:type="spellEnd"/>
      <w:r w:rsidR="009936B6" w:rsidRPr="00650058">
        <w:rPr>
          <w:rFonts w:ascii="Times New Roman" w:hAnsi="Times New Roman"/>
          <w:sz w:val="28"/>
          <w:szCs w:val="28"/>
        </w:rPr>
        <w:t xml:space="preserve">, </w:t>
      </w:r>
      <w:proofErr w:type="spellStart"/>
      <w:r w:rsidR="009936B6" w:rsidRPr="00650058">
        <w:rPr>
          <w:rFonts w:ascii="Times New Roman" w:hAnsi="Times New Roman"/>
          <w:sz w:val="28"/>
          <w:szCs w:val="28"/>
        </w:rPr>
        <w:t>хайтек</w:t>
      </w:r>
      <w:proofErr w:type="spellEnd"/>
      <w:r w:rsidR="009936B6" w:rsidRPr="00650058">
        <w:rPr>
          <w:rFonts w:ascii="Times New Roman" w:hAnsi="Times New Roman"/>
          <w:sz w:val="28"/>
          <w:szCs w:val="28"/>
        </w:rPr>
        <w:t xml:space="preserve">) и 3-м дополнительным (математика, </w:t>
      </w:r>
      <w:proofErr w:type="spellStart"/>
      <w:r w:rsidR="009936B6" w:rsidRPr="00650058">
        <w:rPr>
          <w:rFonts w:ascii="Times New Roman" w:hAnsi="Times New Roman"/>
          <w:sz w:val="28"/>
          <w:szCs w:val="28"/>
        </w:rPr>
        <w:t>квантошахматы</w:t>
      </w:r>
      <w:proofErr w:type="spellEnd"/>
      <w:r w:rsidR="009936B6" w:rsidRPr="00650058">
        <w:rPr>
          <w:rFonts w:ascii="Times New Roman" w:hAnsi="Times New Roman"/>
          <w:sz w:val="28"/>
          <w:szCs w:val="28"/>
        </w:rPr>
        <w:t xml:space="preserve">, технический английский). В 2021 году количество основных образовательных направлений увеличилось до 7, так как в сентябре был открыт </w:t>
      </w:r>
      <w:proofErr w:type="spellStart"/>
      <w:r w:rsidR="009936B6" w:rsidRPr="00650058">
        <w:rPr>
          <w:rFonts w:ascii="Times New Roman" w:hAnsi="Times New Roman"/>
          <w:sz w:val="28"/>
          <w:szCs w:val="28"/>
        </w:rPr>
        <w:t>медиаквантум</w:t>
      </w:r>
      <w:proofErr w:type="spellEnd"/>
      <w:r w:rsidR="009936B6" w:rsidRPr="00650058">
        <w:rPr>
          <w:rFonts w:ascii="Times New Roman" w:hAnsi="Times New Roman"/>
          <w:sz w:val="28"/>
          <w:szCs w:val="28"/>
        </w:rPr>
        <w:t xml:space="preserve">. </w:t>
      </w:r>
    </w:p>
    <w:p w:rsidR="009E2F86" w:rsidRPr="00650058" w:rsidRDefault="009E2F86" w:rsidP="009E2F86">
      <w:pPr>
        <w:pStyle w:val="Style8"/>
        <w:widowControl/>
        <w:spacing w:line="240" w:lineRule="auto"/>
        <w:ind w:firstLine="709"/>
        <w:rPr>
          <w:sz w:val="28"/>
          <w:szCs w:val="28"/>
        </w:rPr>
      </w:pPr>
      <w:r w:rsidRPr="00650058">
        <w:rPr>
          <w:sz w:val="28"/>
          <w:szCs w:val="28"/>
        </w:rPr>
        <w:t>Детский технопарк «Кванториум» стал уникальной средой для ускоренного развития детей по актуальным научно-исследовательским и инженерно-техническим направлениям. Это площадка, оснащенная высокотехнологичным оборудованием, нацеленная на подготовку новых высококвалифицированных инженерных кадров, разработку, тестирование и внедрение инновационных технологий и идей.</w:t>
      </w:r>
    </w:p>
    <w:p w:rsidR="00D54DC2" w:rsidRPr="00650058" w:rsidRDefault="00CC567A" w:rsidP="009E2F86">
      <w:pPr>
        <w:ind w:firstLine="709"/>
        <w:jc w:val="both"/>
        <w:rPr>
          <w:rFonts w:ascii="Times New Roman" w:hAnsi="Times New Roman"/>
          <w:sz w:val="28"/>
          <w:szCs w:val="28"/>
        </w:rPr>
      </w:pPr>
      <w:r w:rsidRPr="00650058">
        <w:rPr>
          <w:rFonts w:ascii="Times New Roman" w:hAnsi="Times New Roman"/>
          <w:sz w:val="28"/>
          <w:szCs w:val="28"/>
        </w:rPr>
        <w:t>Растет число педагогических работников, реализующих дополнительные общеобразовательные программы.</w:t>
      </w:r>
    </w:p>
    <w:p w:rsidR="00CC567A" w:rsidRPr="00650058" w:rsidRDefault="00CC567A" w:rsidP="00CC567A">
      <w:pPr>
        <w:ind w:firstLine="709"/>
        <w:jc w:val="center"/>
        <w:rPr>
          <w:rFonts w:ascii="Times New Roman" w:hAnsi="Times New Roman"/>
          <w:sz w:val="28"/>
          <w:szCs w:val="28"/>
        </w:rPr>
      </w:pPr>
      <w:r w:rsidRPr="00650058">
        <w:rPr>
          <w:rFonts w:ascii="Times New Roman" w:hAnsi="Times New Roman"/>
          <w:b/>
          <w:noProof/>
          <w:sz w:val="28"/>
          <w:szCs w:val="28"/>
          <w:lang w:eastAsia="ru-RU"/>
        </w:rPr>
        <w:lastRenderedPageBreak/>
        <w:drawing>
          <wp:inline distT="0" distB="0" distL="0" distR="0" wp14:anchorId="7565E046" wp14:editId="6059D9CF">
            <wp:extent cx="2552700" cy="24288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DC2" w:rsidRPr="00650058" w:rsidRDefault="00D54DC2" w:rsidP="00650058">
      <w:pPr>
        <w:spacing w:after="0" w:line="240" w:lineRule="auto"/>
        <w:ind w:firstLine="709"/>
        <w:jc w:val="both"/>
        <w:rPr>
          <w:rFonts w:ascii="Times New Roman" w:hAnsi="Times New Roman"/>
          <w:sz w:val="28"/>
          <w:szCs w:val="28"/>
        </w:rPr>
      </w:pPr>
      <w:r w:rsidRPr="00650058">
        <w:rPr>
          <w:rFonts w:ascii="Times New Roman" w:hAnsi="Times New Roman"/>
          <w:sz w:val="28"/>
          <w:szCs w:val="28"/>
        </w:rPr>
        <w:t>Остаются актуальными в Еврейской автономной области следующие проблемы, препятствующие получению гражданами качественного дополнительного образования:</w:t>
      </w:r>
    </w:p>
    <w:p w:rsidR="00DC5C8A" w:rsidRDefault="00D54DC2" w:rsidP="00650058">
      <w:pPr>
        <w:spacing w:after="0" w:line="240" w:lineRule="auto"/>
        <w:ind w:firstLine="709"/>
        <w:jc w:val="both"/>
        <w:rPr>
          <w:rFonts w:ascii="Times New Roman" w:hAnsi="Times New Roman"/>
          <w:sz w:val="28"/>
          <w:szCs w:val="28"/>
        </w:rPr>
      </w:pPr>
      <w:r w:rsidRPr="00650058">
        <w:rPr>
          <w:rFonts w:ascii="Times New Roman" w:hAnsi="Times New Roman"/>
          <w:sz w:val="28"/>
          <w:szCs w:val="28"/>
        </w:rPr>
        <w:t>- несоответствие инфраструктуры организаций, реализующих дополнительные общеобразовательные программы, в том числе естественнонаучной и технической направленности, современным высокотехнологичным требованиям;</w:t>
      </w:r>
    </w:p>
    <w:p w:rsidR="00D54DC2" w:rsidRPr="00650058" w:rsidRDefault="00D54DC2" w:rsidP="00650058">
      <w:pPr>
        <w:spacing w:after="0" w:line="240" w:lineRule="auto"/>
        <w:ind w:firstLine="709"/>
        <w:jc w:val="both"/>
        <w:rPr>
          <w:rFonts w:ascii="Times New Roman" w:hAnsi="Times New Roman"/>
          <w:sz w:val="28"/>
          <w:szCs w:val="28"/>
        </w:rPr>
      </w:pPr>
      <w:r w:rsidRPr="00650058">
        <w:rPr>
          <w:rFonts w:ascii="Times New Roman" w:hAnsi="Times New Roman"/>
          <w:sz w:val="28"/>
          <w:szCs w:val="28"/>
        </w:rPr>
        <w:t>- недостаточная обеспеченность дополнител</w:t>
      </w:r>
      <w:r w:rsidR="00650058">
        <w:rPr>
          <w:rFonts w:ascii="Times New Roman" w:hAnsi="Times New Roman"/>
          <w:sz w:val="28"/>
          <w:szCs w:val="28"/>
        </w:rPr>
        <w:t xml:space="preserve">ьных общеразвивающих программ, </w:t>
      </w:r>
      <w:r w:rsidRPr="00650058">
        <w:rPr>
          <w:rFonts w:ascii="Times New Roman" w:hAnsi="Times New Roman"/>
          <w:sz w:val="28"/>
          <w:szCs w:val="28"/>
        </w:rPr>
        <w:t>педагогическими кадрами соответствующей квалификации;</w:t>
      </w:r>
    </w:p>
    <w:p w:rsidR="00D54DC2" w:rsidRPr="00650058" w:rsidRDefault="00D54DC2" w:rsidP="00650058">
      <w:pPr>
        <w:spacing w:after="0" w:line="240" w:lineRule="auto"/>
        <w:ind w:firstLine="709"/>
        <w:jc w:val="both"/>
        <w:rPr>
          <w:rFonts w:ascii="Times New Roman" w:hAnsi="Times New Roman"/>
          <w:sz w:val="28"/>
          <w:szCs w:val="28"/>
        </w:rPr>
      </w:pPr>
      <w:r w:rsidRPr="00650058">
        <w:rPr>
          <w:rFonts w:ascii="Times New Roman" w:hAnsi="Times New Roman"/>
          <w:sz w:val="28"/>
          <w:szCs w:val="28"/>
        </w:rPr>
        <w:t>- низкий уровень взаимосвязи между дополнительным образованием, современным рынком труда и реальным сектором экономики области;</w:t>
      </w:r>
    </w:p>
    <w:p w:rsidR="00D54DC2" w:rsidRDefault="00D54DC2" w:rsidP="00650058">
      <w:pPr>
        <w:spacing w:after="0"/>
        <w:ind w:firstLine="709"/>
        <w:jc w:val="both"/>
        <w:rPr>
          <w:rFonts w:ascii="Times New Roman" w:hAnsi="Times New Roman"/>
          <w:sz w:val="28"/>
          <w:szCs w:val="28"/>
        </w:rPr>
      </w:pPr>
      <w:r w:rsidRPr="00650058">
        <w:rPr>
          <w:rFonts w:ascii="Times New Roman" w:hAnsi="Times New Roman"/>
          <w:sz w:val="28"/>
          <w:szCs w:val="28"/>
        </w:rPr>
        <w:t>Решение данных проблем возможно через внедрение Целевой модели развития дополнительного образования детей Еврейской автономной области в рамках федерального проекта «Успех каждого ребенка»; реализацию программ физкультурно-спортивной направленности через создание и развитие школьных спортивных клубов; реализацию мероприятия «Создание и функционирование центров образования естественно-научной и технологической направленностей «Точка роста» в рамках федерального проекта «Современная школа» национального проекта «Образование».</w:t>
      </w:r>
    </w:p>
    <w:p w:rsidR="00D54DC2" w:rsidRDefault="00650058" w:rsidP="00650058">
      <w:pPr>
        <w:spacing w:after="0"/>
        <w:ind w:firstLine="709"/>
        <w:jc w:val="both"/>
        <w:rPr>
          <w:rFonts w:ascii="Times New Roman" w:hAnsi="Times New Roman"/>
          <w:sz w:val="28"/>
          <w:szCs w:val="28"/>
        </w:rPr>
      </w:pPr>
      <w:r>
        <w:rPr>
          <w:rFonts w:ascii="Times New Roman" w:hAnsi="Times New Roman"/>
          <w:sz w:val="28"/>
          <w:szCs w:val="28"/>
        </w:rPr>
        <w:t xml:space="preserve">Флагманом здесь должен стать </w:t>
      </w:r>
      <w:r w:rsidR="00DC5C8A">
        <w:rPr>
          <w:rFonts w:ascii="Times New Roman" w:hAnsi="Times New Roman"/>
          <w:sz w:val="28"/>
          <w:szCs w:val="28"/>
        </w:rPr>
        <w:t>Р</w:t>
      </w:r>
      <w:r>
        <w:rPr>
          <w:rFonts w:ascii="Times New Roman" w:hAnsi="Times New Roman"/>
          <w:sz w:val="28"/>
          <w:szCs w:val="28"/>
        </w:rPr>
        <w:t>егиональный модельный центр дополнительного образования детей на территории Еврейской автономной области на базе АНО ДО «Детский технопарк «Кванториум»</w:t>
      </w:r>
      <w:r w:rsidR="00DC5C8A">
        <w:rPr>
          <w:rFonts w:ascii="Times New Roman" w:hAnsi="Times New Roman"/>
          <w:sz w:val="28"/>
          <w:szCs w:val="28"/>
        </w:rPr>
        <w:t>, а в муниципальных образованиях муниципальные - опорные центры дополнительного образования детей. В ближайшее время будет постановлением правительства Еврейской автономной области утверждена Концепция персонифицированного дополнительного образования детей на территории Еврейской автономной области.</w:t>
      </w:r>
    </w:p>
    <w:p w:rsidR="00DC5C8A" w:rsidRPr="00650058" w:rsidRDefault="00DC5C8A" w:rsidP="00650058">
      <w:pPr>
        <w:spacing w:after="0"/>
        <w:ind w:firstLine="709"/>
        <w:jc w:val="both"/>
        <w:rPr>
          <w:rFonts w:ascii="Times New Roman" w:hAnsi="Times New Roman"/>
          <w:sz w:val="28"/>
          <w:szCs w:val="28"/>
        </w:rPr>
      </w:pPr>
    </w:p>
    <w:p w:rsidR="00D54DC2" w:rsidRPr="00650058" w:rsidRDefault="00D54DC2" w:rsidP="00650058">
      <w:pPr>
        <w:pStyle w:val="a3"/>
        <w:numPr>
          <w:ilvl w:val="1"/>
          <w:numId w:val="4"/>
        </w:numPr>
        <w:spacing w:after="0"/>
        <w:ind w:left="0" w:firstLine="709"/>
        <w:jc w:val="both"/>
        <w:rPr>
          <w:rFonts w:ascii="Times New Roman" w:hAnsi="Times New Roman"/>
          <w:sz w:val="28"/>
          <w:szCs w:val="28"/>
        </w:rPr>
      </w:pPr>
      <w:r w:rsidRPr="00650058">
        <w:rPr>
          <w:rFonts w:ascii="Times New Roman" w:hAnsi="Times New Roman"/>
          <w:sz w:val="28"/>
          <w:szCs w:val="28"/>
        </w:rPr>
        <w:lastRenderedPageBreak/>
        <w:t>Целью реализации концепции дополнительного образования детей является обеспечение прав ребенка на развитие, личностное самоопределение и самореализацию за счет получения услуг дополнительного образования.</w:t>
      </w:r>
    </w:p>
    <w:p w:rsidR="00D54DC2" w:rsidRPr="00650058" w:rsidRDefault="00D54DC2" w:rsidP="00D54DC2">
      <w:pPr>
        <w:pStyle w:val="a3"/>
        <w:numPr>
          <w:ilvl w:val="1"/>
          <w:numId w:val="4"/>
        </w:numPr>
        <w:spacing w:after="0"/>
        <w:ind w:left="0" w:firstLine="709"/>
        <w:jc w:val="both"/>
        <w:rPr>
          <w:rFonts w:ascii="Times New Roman" w:hAnsi="Times New Roman"/>
          <w:sz w:val="28"/>
          <w:szCs w:val="28"/>
        </w:rPr>
      </w:pPr>
      <w:r w:rsidRPr="00650058">
        <w:rPr>
          <w:rFonts w:ascii="Times New Roman" w:hAnsi="Times New Roman"/>
          <w:sz w:val="28"/>
          <w:szCs w:val="28"/>
        </w:rPr>
        <w:t>Реализация концепции направлена на:</w:t>
      </w:r>
    </w:p>
    <w:p w:rsidR="00D54DC2" w:rsidRPr="00650058" w:rsidRDefault="00D54DC2" w:rsidP="00D54DC2">
      <w:pPr>
        <w:pStyle w:val="a3"/>
        <w:numPr>
          <w:ilvl w:val="0"/>
          <w:numId w:val="5"/>
        </w:numPr>
        <w:spacing w:after="0"/>
        <w:ind w:left="0" w:firstLine="709"/>
        <w:jc w:val="both"/>
        <w:rPr>
          <w:rFonts w:ascii="Times New Roman" w:hAnsi="Times New Roman"/>
          <w:sz w:val="28"/>
          <w:szCs w:val="28"/>
        </w:rPr>
      </w:pPr>
      <w:r w:rsidRPr="00650058">
        <w:rPr>
          <w:rFonts w:ascii="Times New Roman" w:hAnsi="Times New Roman"/>
          <w:sz w:val="28"/>
          <w:szCs w:val="28"/>
        </w:rPr>
        <w:t>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организациями, осуществляющими образовательную деятельность, и индивидуальными предпринимателями, независимо от их правового статуса и формы собственности;</w:t>
      </w:r>
    </w:p>
    <w:p w:rsidR="00D54DC2" w:rsidRPr="00650058" w:rsidRDefault="00D54DC2" w:rsidP="00D54DC2">
      <w:pPr>
        <w:pStyle w:val="a3"/>
        <w:numPr>
          <w:ilvl w:val="0"/>
          <w:numId w:val="5"/>
        </w:numPr>
        <w:spacing w:after="0"/>
        <w:ind w:left="0" w:firstLine="709"/>
        <w:jc w:val="both"/>
        <w:rPr>
          <w:rFonts w:ascii="Times New Roman" w:hAnsi="Times New Roman"/>
          <w:sz w:val="28"/>
          <w:szCs w:val="28"/>
        </w:rPr>
      </w:pPr>
      <w:r w:rsidRPr="00650058">
        <w:rPr>
          <w:rFonts w:ascii="Times New Roman" w:hAnsi="Times New Roman"/>
          <w:sz w:val="28"/>
          <w:szCs w:val="28"/>
        </w:rPr>
        <w:t xml:space="preserve">повышение вариативности, качества и доступности дополнительного образования для каждого ребенка, проживающего на территории </w:t>
      </w:r>
      <w:r w:rsidRPr="00650058">
        <w:rPr>
          <w:rFonts w:ascii="Times New Roman" w:hAnsi="Times New Roman"/>
          <w:color w:val="000000"/>
          <w:sz w:val="28"/>
          <w:szCs w:val="28"/>
        </w:rPr>
        <w:t>Еврейской автономной области</w:t>
      </w:r>
      <w:r w:rsidRPr="00650058">
        <w:rPr>
          <w:rFonts w:ascii="Times New Roman" w:hAnsi="Times New Roman"/>
          <w:sz w:val="28"/>
          <w:szCs w:val="28"/>
        </w:rPr>
        <w:t>;</w:t>
      </w:r>
    </w:p>
    <w:p w:rsidR="00D54DC2" w:rsidRPr="00650058" w:rsidRDefault="00D54DC2" w:rsidP="00D54DC2">
      <w:pPr>
        <w:pStyle w:val="a3"/>
        <w:numPr>
          <w:ilvl w:val="0"/>
          <w:numId w:val="5"/>
        </w:numPr>
        <w:spacing w:after="0"/>
        <w:ind w:left="0" w:firstLine="709"/>
        <w:jc w:val="both"/>
        <w:rPr>
          <w:rFonts w:ascii="Times New Roman" w:hAnsi="Times New Roman"/>
          <w:sz w:val="28"/>
          <w:szCs w:val="28"/>
        </w:rPr>
      </w:pPr>
      <w:r w:rsidRPr="00650058">
        <w:rPr>
          <w:rFonts w:ascii="Times New Roman" w:hAnsi="Times New Roman"/>
          <w:sz w:val="28"/>
          <w:szCs w:val="28"/>
        </w:rPr>
        <w:t>обновление содержания дополнительного образования детей в соответствии с интересами детей, потребностями семьи и общества;</w:t>
      </w:r>
    </w:p>
    <w:p w:rsidR="00D54DC2" w:rsidRPr="00650058" w:rsidRDefault="00D54DC2" w:rsidP="00D54DC2">
      <w:pPr>
        <w:pStyle w:val="a3"/>
        <w:numPr>
          <w:ilvl w:val="0"/>
          <w:numId w:val="5"/>
        </w:numPr>
        <w:spacing w:after="0"/>
        <w:ind w:left="0" w:firstLine="709"/>
        <w:jc w:val="both"/>
        <w:rPr>
          <w:rFonts w:ascii="Times New Roman" w:hAnsi="Times New Roman"/>
          <w:sz w:val="28"/>
          <w:szCs w:val="28"/>
        </w:rPr>
      </w:pPr>
      <w:r w:rsidRPr="00650058">
        <w:rPr>
          <w:rFonts w:ascii="Times New Roman" w:hAnsi="Times New Roman"/>
          <w:sz w:val="28"/>
          <w:szCs w:val="28"/>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территорий.</w:t>
      </w:r>
    </w:p>
    <w:p w:rsidR="00D54DC2" w:rsidRPr="00650058" w:rsidRDefault="00D54DC2" w:rsidP="00D54DC2">
      <w:pPr>
        <w:autoSpaceDE w:val="0"/>
        <w:autoSpaceDN w:val="0"/>
        <w:adjustRightInd w:val="0"/>
        <w:spacing w:after="0" w:line="240" w:lineRule="auto"/>
        <w:ind w:firstLine="540"/>
        <w:jc w:val="both"/>
        <w:rPr>
          <w:rFonts w:ascii="Times New Roman" w:hAnsi="Times New Roman"/>
          <w:sz w:val="28"/>
          <w:szCs w:val="28"/>
        </w:rPr>
      </w:pPr>
    </w:p>
    <w:p w:rsidR="00E65C00" w:rsidRPr="00650058" w:rsidRDefault="00E65C00" w:rsidP="00E65C00">
      <w:pPr>
        <w:ind w:firstLine="709"/>
        <w:jc w:val="center"/>
        <w:rPr>
          <w:rFonts w:ascii="Times New Roman" w:hAnsi="Times New Roman"/>
          <w:sz w:val="28"/>
          <w:szCs w:val="28"/>
        </w:rPr>
      </w:pPr>
      <w:bookmarkStart w:id="0" w:name="_GoBack"/>
      <w:bookmarkEnd w:id="0"/>
      <w:r w:rsidRPr="00650058">
        <w:rPr>
          <w:rFonts w:ascii="Times New Roman" w:hAnsi="Times New Roman"/>
          <w:sz w:val="28"/>
          <w:szCs w:val="28"/>
        </w:rPr>
        <w:t>Дополнительные сведения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842"/>
        <w:gridCol w:w="1276"/>
        <w:gridCol w:w="1701"/>
      </w:tblGrid>
      <w:tr w:rsidR="00B466CA" w:rsidRPr="00650058" w:rsidTr="00A72954">
        <w:trPr>
          <w:trHeight w:val="647"/>
        </w:trPr>
        <w:tc>
          <w:tcPr>
            <w:tcW w:w="675" w:type="dxa"/>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w:t>
            </w:r>
          </w:p>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п/п</w:t>
            </w:r>
          </w:p>
        </w:tc>
        <w:tc>
          <w:tcPr>
            <w:tcW w:w="3828"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 xml:space="preserve">Наименование показателя </w:t>
            </w:r>
          </w:p>
        </w:tc>
        <w:tc>
          <w:tcPr>
            <w:tcW w:w="1842" w:type="dxa"/>
            <w:shd w:val="clear" w:color="auto" w:fill="auto"/>
          </w:tcPr>
          <w:p w:rsidR="00B466CA" w:rsidRPr="00650058" w:rsidRDefault="00B466CA" w:rsidP="00A72954">
            <w:pPr>
              <w:spacing w:line="360" w:lineRule="auto"/>
              <w:jc w:val="center"/>
              <w:rPr>
                <w:rFonts w:ascii="Times New Roman" w:hAnsi="Times New Roman"/>
                <w:b/>
                <w:sz w:val="28"/>
                <w:szCs w:val="28"/>
              </w:rPr>
            </w:pPr>
            <w:r w:rsidRPr="00650058">
              <w:rPr>
                <w:rFonts w:ascii="Times New Roman" w:hAnsi="Times New Roman"/>
                <w:b/>
                <w:sz w:val="28"/>
                <w:szCs w:val="28"/>
              </w:rPr>
              <w:t>2021</w:t>
            </w:r>
          </w:p>
        </w:tc>
        <w:tc>
          <w:tcPr>
            <w:tcW w:w="1276" w:type="dxa"/>
            <w:shd w:val="clear" w:color="auto" w:fill="auto"/>
          </w:tcPr>
          <w:p w:rsidR="00B466CA" w:rsidRPr="00650058" w:rsidRDefault="00B466CA" w:rsidP="00A72954">
            <w:pPr>
              <w:spacing w:line="360" w:lineRule="auto"/>
              <w:jc w:val="center"/>
              <w:rPr>
                <w:rFonts w:ascii="Times New Roman" w:hAnsi="Times New Roman"/>
                <w:b/>
                <w:sz w:val="28"/>
                <w:szCs w:val="28"/>
              </w:rPr>
            </w:pPr>
            <w:r w:rsidRPr="00650058">
              <w:rPr>
                <w:rFonts w:ascii="Times New Roman" w:hAnsi="Times New Roman"/>
                <w:b/>
                <w:sz w:val="28"/>
                <w:szCs w:val="28"/>
              </w:rPr>
              <w:t>2020</w:t>
            </w:r>
          </w:p>
        </w:tc>
        <w:tc>
          <w:tcPr>
            <w:tcW w:w="1701" w:type="dxa"/>
            <w:shd w:val="clear" w:color="auto" w:fill="auto"/>
          </w:tcPr>
          <w:p w:rsidR="00B466CA" w:rsidRPr="00650058" w:rsidRDefault="00B466CA" w:rsidP="00A72954">
            <w:pPr>
              <w:spacing w:line="360" w:lineRule="auto"/>
              <w:jc w:val="center"/>
              <w:rPr>
                <w:rFonts w:ascii="Times New Roman" w:hAnsi="Times New Roman"/>
                <w:b/>
                <w:sz w:val="28"/>
                <w:szCs w:val="28"/>
              </w:rPr>
            </w:pPr>
            <w:r w:rsidRPr="00650058">
              <w:rPr>
                <w:rFonts w:ascii="Times New Roman" w:hAnsi="Times New Roman"/>
                <w:b/>
                <w:sz w:val="28"/>
                <w:szCs w:val="28"/>
              </w:rPr>
              <w:t>2019</w:t>
            </w:r>
          </w:p>
        </w:tc>
      </w:tr>
      <w:tr w:rsidR="00B466CA" w:rsidRPr="00650058" w:rsidTr="00A72954">
        <w:tc>
          <w:tcPr>
            <w:tcW w:w="675" w:type="dxa"/>
          </w:tcPr>
          <w:p w:rsidR="00B466CA" w:rsidRPr="00650058" w:rsidRDefault="00B466CA" w:rsidP="00A72954">
            <w:pPr>
              <w:pStyle w:val="ab"/>
              <w:rPr>
                <w:sz w:val="28"/>
                <w:szCs w:val="28"/>
              </w:rPr>
            </w:pPr>
            <w:r w:rsidRPr="00650058">
              <w:rPr>
                <w:sz w:val="28"/>
                <w:szCs w:val="28"/>
              </w:rPr>
              <w:t>1</w:t>
            </w:r>
          </w:p>
        </w:tc>
        <w:tc>
          <w:tcPr>
            <w:tcW w:w="3828" w:type="dxa"/>
            <w:shd w:val="clear" w:color="auto" w:fill="auto"/>
          </w:tcPr>
          <w:p w:rsidR="00B466CA" w:rsidRPr="00650058" w:rsidRDefault="00B466CA" w:rsidP="00A72954">
            <w:pPr>
              <w:pStyle w:val="ab"/>
              <w:rPr>
                <w:sz w:val="28"/>
                <w:szCs w:val="28"/>
              </w:rPr>
            </w:pPr>
            <w:r w:rsidRPr="00650058">
              <w:rPr>
                <w:sz w:val="28"/>
                <w:szCs w:val="28"/>
              </w:rPr>
              <w:t>Общее количество организаций дополнительного образования</w:t>
            </w:r>
          </w:p>
        </w:tc>
        <w:tc>
          <w:tcPr>
            <w:tcW w:w="1842"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20</w:t>
            </w:r>
          </w:p>
        </w:tc>
        <w:tc>
          <w:tcPr>
            <w:tcW w:w="1276"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20</w:t>
            </w:r>
          </w:p>
        </w:tc>
        <w:tc>
          <w:tcPr>
            <w:tcW w:w="1701"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19</w:t>
            </w:r>
          </w:p>
        </w:tc>
      </w:tr>
      <w:tr w:rsidR="00B466CA" w:rsidRPr="00650058" w:rsidTr="00A72954">
        <w:tc>
          <w:tcPr>
            <w:tcW w:w="675" w:type="dxa"/>
          </w:tcPr>
          <w:p w:rsidR="00B466CA" w:rsidRPr="00650058" w:rsidRDefault="00B466CA" w:rsidP="00A72954">
            <w:pPr>
              <w:rPr>
                <w:rFonts w:ascii="Times New Roman" w:hAnsi="Times New Roman"/>
                <w:sz w:val="28"/>
                <w:szCs w:val="28"/>
              </w:rPr>
            </w:pPr>
          </w:p>
        </w:tc>
        <w:tc>
          <w:tcPr>
            <w:tcW w:w="3828" w:type="dxa"/>
            <w:shd w:val="clear" w:color="auto" w:fill="auto"/>
          </w:tcPr>
          <w:p w:rsidR="00B466CA" w:rsidRPr="00650058" w:rsidRDefault="00B466CA" w:rsidP="00A72954">
            <w:pPr>
              <w:rPr>
                <w:rFonts w:ascii="Times New Roman" w:hAnsi="Times New Roman"/>
                <w:sz w:val="28"/>
                <w:szCs w:val="28"/>
              </w:rPr>
            </w:pPr>
            <w:r w:rsidRPr="00650058">
              <w:rPr>
                <w:rFonts w:ascii="Times New Roman" w:hAnsi="Times New Roman"/>
                <w:sz w:val="28"/>
                <w:szCs w:val="28"/>
              </w:rPr>
              <w:t>Численность занимающихся в них детей</w:t>
            </w:r>
          </w:p>
        </w:tc>
        <w:tc>
          <w:tcPr>
            <w:tcW w:w="1842"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9784</w:t>
            </w:r>
          </w:p>
        </w:tc>
        <w:tc>
          <w:tcPr>
            <w:tcW w:w="1276"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9488</w:t>
            </w:r>
          </w:p>
        </w:tc>
        <w:tc>
          <w:tcPr>
            <w:tcW w:w="1701"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8758</w:t>
            </w:r>
          </w:p>
        </w:tc>
      </w:tr>
      <w:tr w:rsidR="00B466CA" w:rsidRPr="00650058" w:rsidTr="00A72954">
        <w:tc>
          <w:tcPr>
            <w:tcW w:w="675" w:type="dxa"/>
          </w:tcPr>
          <w:p w:rsidR="00B466CA" w:rsidRPr="00650058" w:rsidRDefault="00B466CA" w:rsidP="00A72954">
            <w:pPr>
              <w:pStyle w:val="ab"/>
              <w:rPr>
                <w:sz w:val="28"/>
                <w:szCs w:val="28"/>
              </w:rPr>
            </w:pPr>
            <w:r w:rsidRPr="00650058">
              <w:rPr>
                <w:sz w:val="28"/>
                <w:szCs w:val="28"/>
              </w:rPr>
              <w:t>2</w:t>
            </w:r>
          </w:p>
        </w:tc>
        <w:tc>
          <w:tcPr>
            <w:tcW w:w="3828" w:type="dxa"/>
            <w:shd w:val="clear" w:color="auto" w:fill="auto"/>
          </w:tcPr>
          <w:p w:rsidR="00B466CA" w:rsidRPr="00650058" w:rsidRDefault="00B466CA" w:rsidP="00A72954">
            <w:pPr>
              <w:pStyle w:val="ab"/>
              <w:rPr>
                <w:sz w:val="28"/>
                <w:szCs w:val="28"/>
              </w:rPr>
            </w:pPr>
            <w:r w:rsidRPr="00650058">
              <w:rPr>
                <w:sz w:val="28"/>
                <w:szCs w:val="28"/>
              </w:rPr>
              <w:t xml:space="preserve">Количество работающих в организациях дополнительного образования педагогов </w:t>
            </w:r>
          </w:p>
        </w:tc>
        <w:tc>
          <w:tcPr>
            <w:tcW w:w="1842"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272</w:t>
            </w:r>
          </w:p>
        </w:tc>
        <w:tc>
          <w:tcPr>
            <w:tcW w:w="1276"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269</w:t>
            </w:r>
          </w:p>
        </w:tc>
        <w:tc>
          <w:tcPr>
            <w:tcW w:w="1701" w:type="dxa"/>
            <w:shd w:val="clear" w:color="auto" w:fill="auto"/>
          </w:tcPr>
          <w:p w:rsidR="00B466CA" w:rsidRPr="00650058" w:rsidRDefault="00B466CA" w:rsidP="00A72954">
            <w:pPr>
              <w:spacing w:line="360" w:lineRule="auto"/>
              <w:jc w:val="both"/>
              <w:rPr>
                <w:rFonts w:ascii="Times New Roman" w:hAnsi="Times New Roman"/>
                <w:sz w:val="28"/>
                <w:szCs w:val="28"/>
              </w:rPr>
            </w:pPr>
            <w:r w:rsidRPr="00650058">
              <w:rPr>
                <w:rFonts w:ascii="Times New Roman" w:hAnsi="Times New Roman"/>
                <w:sz w:val="28"/>
                <w:szCs w:val="28"/>
              </w:rPr>
              <w:t>268</w:t>
            </w:r>
          </w:p>
        </w:tc>
      </w:tr>
    </w:tbl>
    <w:p w:rsidR="009D58BE" w:rsidRPr="00650058" w:rsidRDefault="009D58BE">
      <w:pPr>
        <w:rPr>
          <w:rFonts w:ascii="Times New Roman" w:hAnsi="Times New Roman"/>
          <w:sz w:val="28"/>
          <w:szCs w:val="28"/>
        </w:rPr>
      </w:pPr>
    </w:p>
    <w:p w:rsidR="00CC567A" w:rsidRPr="00650058" w:rsidRDefault="00CC567A" w:rsidP="00CC567A">
      <w:pPr>
        <w:ind w:firstLine="709"/>
        <w:jc w:val="both"/>
        <w:rPr>
          <w:rFonts w:ascii="Times New Roman" w:hAnsi="Times New Roman"/>
          <w:sz w:val="28"/>
          <w:szCs w:val="28"/>
        </w:rPr>
      </w:pPr>
      <w:r w:rsidRPr="00650058">
        <w:rPr>
          <w:rFonts w:ascii="Times New Roman" w:hAnsi="Times New Roman"/>
          <w:sz w:val="28"/>
          <w:szCs w:val="28"/>
        </w:rPr>
        <w:t xml:space="preserve">В связи с </w:t>
      </w:r>
      <w:proofErr w:type="spellStart"/>
      <w:r w:rsidRPr="00650058">
        <w:rPr>
          <w:rFonts w:ascii="Times New Roman" w:hAnsi="Times New Roman"/>
          <w:sz w:val="28"/>
          <w:szCs w:val="28"/>
        </w:rPr>
        <w:t>дефициентностью</w:t>
      </w:r>
      <w:proofErr w:type="spellEnd"/>
      <w:r w:rsidRPr="00650058">
        <w:rPr>
          <w:rFonts w:ascii="Times New Roman" w:hAnsi="Times New Roman"/>
          <w:sz w:val="28"/>
          <w:szCs w:val="28"/>
        </w:rPr>
        <w:t xml:space="preserve"> туристско-краеведческой отрасли в Еврейской автономной области и перспективами развития данной отрасли, необходимо развивать </w:t>
      </w:r>
    </w:p>
    <w:p w:rsidR="00CC567A" w:rsidRPr="00650058" w:rsidRDefault="00CC567A" w:rsidP="00CC567A">
      <w:pPr>
        <w:jc w:val="both"/>
        <w:rPr>
          <w:rFonts w:ascii="Times New Roman" w:hAnsi="Times New Roman"/>
          <w:color w:val="000000"/>
          <w:sz w:val="28"/>
          <w:szCs w:val="28"/>
        </w:rPr>
      </w:pPr>
      <w:r w:rsidRPr="00650058">
        <w:rPr>
          <w:rFonts w:ascii="Times New Roman" w:hAnsi="Times New Roman"/>
          <w:sz w:val="28"/>
          <w:szCs w:val="28"/>
        </w:rPr>
        <w:lastRenderedPageBreak/>
        <w:t>это направление учитывая неповторимый колорит области, а именно еврейская культура, которая включает в себя еврейскую кухню, еврейские традиции, праздники, казачества с их самобытной культурой и не последней ролью в патриотическом воспитании подрастающего поколения; нетронутая природа, спелеологические пещеры, единственный в своем роде санаторий Кульдур, г</w:t>
      </w:r>
      <w:r w:rsidRPr="00650058">
        <w:rPr>
          <w:rFonts w:ascii="Times New Roman" w:hAnsi="Times New Roman"/>
          <w:color w:val="000000"/>
          <w:sz w:val="28"/>
          <w:szCs w:val="28"/>
        </w:rPr>
        <w:t>лавным лечебным фактором курорта являются его естественные азотно-кремнистые термальные воды, которые относятся к типу «</w:t>
      </w:r>
      <w:proofErr w:type="spellStart"/>
      <w:r w:rsidRPr="00650058">
        <w:rPr>
          <w:rFonts w:ascii="Times New Roman" w:hAnsi="Times New Roman"/>
          <w:color w:val="000000"/>
          <w:sz w:val="28"/>
          <w:szCs w:val="28"/>
        </w:rPr>
        <w:t>кульдурско-перинейских</w:t>
      </w:r>
      <w:proofErr w:type="spellEnd"/>
      <w:r w:rsidRPr="00650058">
        <w:rPr>
          <w:rFonts w:ascii="Times New Roman" w:hAnsi="Times New Roman"/>
          <w:color w:val="000000"/>
          <w:sz w:val="28"/>
          <w:szCs w:val="28"/>
        </w:rPr>
        <w:t>», минеральные воды санатория «Кульдур» относятся к слабоминерализованным азотно-кремнистым гидрокарбонатно-хлоридно-натриевым щелочным водам с большим содержанием фтора, считаем необходимым развивать дополнительное образование в туристско-краеведческом направлении.</w:t>
      </w:r>
    </w:p>
    <w:p w:rsidR="00CC567A" w:rsidRPr="00650058" w:rsidRDefault="00CC567A" w:rsidP="00CC567A">
      <w:pPr>
        <w:jc w:val="both"/>
        <w:rPr>
          <w:rFonts w:ascii="Times New Roman" w:hAnsi="Times New Roman"/>
          <w:color w:val="000000"/>
          <w:sz w:val="28"/>
          <w:szCs w:val="28"/>
        </w:rPr>
      </w:pPr>
      <w:r w:rsidRPr="00650058">
        <w:rPr>
          <w:rFonts w:ascii="Times New Roman" w:hAnsi="Times New Roman"/>
          <w:color w:val="000000"/>
          <w:sz w:val="28"/>
          <w:szCs w:val="28"/>
        </w:rPr>
        <w:t xml:space="preserve">Также с целью популяризации туристско-краеведческого направления, необходимо качественно распространять информацию о достопримечательностях, расположенных в муниципальных образованиях области, для этого необходимо развивать направления </w:t>
      </w:r>
      <w:r w:rsidRPr="00650058">
        <w:rPr>
          <w:rFonts w:ascii="Times New Roman" w:hAnsi="Times New Roman"/>
          <w:color w:val="000000"/>
          <w:sz w:val="28"/>
          <w:szCs w:val="28"/>
          <w:lang w:val="en-US"/>
        </w:rPr>
        <w:t>VR</w:t>
      </w:r>
      <w:r w:rsidRPr="00650058">
        <w:rPr>
          <w:rFonts w:ascii="Times New Roman" w:hAnsi="Times New Roman"/>
          <w:color w:val="000000"/>
          <w:sz w:val="28"/>
          <w:szCs w:val="28"/>
        </w:rPr>
        <w:t>/</w:t>
      </w:r>
      <w:r w:rsidRPr="00650058">
        <w:rPr>
          <w:rFonts w:ascii="Times New Roman" w:hAnsi="Times New Roman"/>
          <w:color w:val="000000"/>
          <w:sz w:val="28"/>
          <w:szCs w:val="28"/>
          <w:lang w:val="en-US"/>
        </w:rPr>
        <w:t>AR</w:t>
      </w:r>
      <w:r w:rsidRPr="00650058">
        <w:rPr>
          <w:rFonts w:ascii="Times New Roman" w:hAnsi="Times New Roman"/>
          <w:color w:val="000000"/>
          <w:sz w:val="28"/>
          <w:szCs w:val="28"/>
        </w:rPr>
        <w:t xml:space="preserve">, медиа, </w:t>
      </w:r>
      <w:proofErr w:type="spellStart"/>
      <w:r w:rsidRPr="00650058">
        <w:rPr>
          <w:rFonts w:ascii="Times New Roman" w:hAnsi="Times New Roman"/>
          <w:color w:val="000000"/>
          <w:sz w:val="28"/>
          <w:szCs w:val="28"/>
        </w:rPr>
        <w:t>вэб</w:t>
      </w:r>
      <w:proofErr w:type="spellEnd"/>
      <w:r w:rsidRPr="00650058">
        <w:rPr>
          <w:rFonts w:ascii="Times New Roman" w:hAnsi="Times New Roman"/>
          <w:color w:val="000000"/>
          <w:sz w:val="28"/>
          <w:szCs w:val="28"/>
        </w:rPr>
        <w:t xml:space="preserve"> дизайн, в том числе на базе "точек роста".   </w:t>
      </w:r>
    </w:p>
    <w:p w:rsidR="00CC567A" w:rsidRPr="00650058" w:rsidRDefault="00CC567A" w:rsidP="00CC567A">
      <w:pPr>
        <w:jc w:val="both"/>
        <w:rPr>
          <w:rFonts w:ascii="Times New Roman" w:hAnsi="Times New Roman"/>
          <w:color w:val="000000"/>
          <w:sz w:val="28"/>
          <w:szCs w:val="28"/>
        </w:rPr>
      </w:pPr>
      <w:r w:rsidRPr="00650058">
        <w:rPr>
          <w:rFonts w:ascii="Times New Roman" w:hAnsi="Times New Roman"/>
          <w:color w:val="000000"/>
          <w:sz w:val="28"/>
          <w:szCs w:val="28"/>
        </w:rPr>
        <w:t xml:space="preserve">В связи с взрывным ростом популярности и перевода повседневной деятельности в сеть "Интернет» необходимо переводить художественное направление в плоскость ИТ технологий, </w:t>
      </w:r>
      <w:proofErr w:type="gramStart"/>
      <w:r w:rsidRPr="00650058">
        <w:rPr>
          <w:rFonts w:ascii="Times New Roman" w:hAnsi="Times New Roman"/>
          <w:color w:val="000000"/>
          <w:sz w:val="28"/>
          <w:szCs w:val="28"/>
        </w:rPr>
        <w:t>например</w:t>
      </w:r>
      <w:proofErr w:type="gramEnd"/>
      <w:r w:rsidRPr="00650058">
        <w:rPr>
          <w:rFonts w:ascii="Times New Roman" w:hAnsi="Times New Roman"/>
          <w:color w:val="000000"/>
          <w:sz w:val="28"/>
          <w:szCs w:val="28"/>
        </w:rPr>
        <w:t xml:space="preserve"> 3</w:t>
      </w:r>
      <w:r w:rsidRPr="00650058">
        <w:rPr>
          <w:rFonts w:ascii="Times New Roman" w:hAnsi="Times New Roman"/>
          <w:color w:val="000000"/>
          <w:sz w:val="28"/>
          <w:szCs w:val="28"/>
          <w:lang w:val="en-US"/>
        </w:rPr>
        <w:t>D</w:t>
      </w:r>
      <w:r w:rsidRPr="00650058">
        <w:rPr>
          <w:rFonts w:ascii="Times New Roman" w:hAnsi="Times New Roman"/>
          <w:color w:val="000000"/>
          <w:sz w:val="28"/>
          <w:szCs w:val="28"/>
        </w:rPr>
        <w:t xml:space="preserve"> графика, 3</w:t>
      </w:r>
      <w:r w:rsidRPr="00650058">
        <w:rPr>
          <w:rFonts w:ascii="Times New Roman" w:hAnsi="Times New Roman"/>
          <w:color w:val="000000"/>
          <w:sz w:val="28"/>
          <w:szCs w:val="28"/>
          <w:lang w:val="en-US"/>
        </w:rPr>
        <w:t>D</w:t>
      </w:r>
      <w:r w:rsidRPr="00650058">
        <w:rPr>
          <w:rFonts w:ascii="Times New Roman" w:hAnsi="Times New Roman"/>
          <w:color w:val="000000"/>
          <w:sz w:val="28"/>
          <w:szCs w:val="28"/>
        </w:rPr>
        <w:t xml:space="preserve"> моделирование, </w:t>
      </w:r>
      <w:proofErr w:type="spellStart"/>
      <w:r w:rsidRPr="00650058">
        <w:rPr>
          <w:rFonts w:ascii="Times New Roman" w:hAnsi="Times New Roman"/>
          <w:color w:val="000000"/>
          <w:sz w:val="28"/>
          <w:szCs w:val="28"/>
        </w:rPr>
        <w:t>web</w:t>
      </w:r>
      <w:proofErr w:type="spellEnd"/>
      <w:r w:rsidRPr="00650058">
        <w:rPr>
          <w:rFonts w:ascii="Times New Roman" w:hAnsi="Times New Roman"/>
          <w:color w:val="000000"/>
          <w:sz w:val="28"/>
          <w:szCs w:val="28"/>
        </w:rPr>
        <w:t>-дизайн, графический дизайн, промышленный дизайн.</w:t>
      </w:r>
    </w:p>
    <w:p w:rsidR="00CC567A" w:rsidRPr="00650058" w:rsidRDefault="00CC567A" w:rsidP="00CC567A">
      <w:pPr>
        <w:jc w:val="both"/>
        <w:rPr>
          <w:rFonts w:ascii="Times New Roman" w:hAnsi="Times New Roman"/>
          <w:color w:val="000000"/>
          <w:sz w:val="28"/>
          <w:szCs w:val="28"/>
        </w:rPr>
      </w:pPr>
      <w:r w:rsidRPr="00650058">
        <w:rPr>
          <w:rFonts w:ascii="Times New Roman" w:hAnsi="Times New Roman"/>
          <w:color w:val="000000"/>
          <w:sz w:val="28"/>
          <w:szCs w:val="28"/>
        </w:rPr>
        <w:t>В связи с представленностью горнодобывающей промышленности в регионе как минимум 4 предприятиями, учитывая производимых опасность работ, вследствие чего возникает потребность в автоматизации процессов и минимизации ручного труда, представляющего опасность для жизни и здоровья работников, считаем необходимым развивать дополнительное образование в направлении ИТ технологий и робототехники.</w:t>
      </w:r>
    </w:p>
    <w:p w:rsidR="00CC567A" w:rsidRPr="00650058" w:rsidRDefault="00CC567A" w:rsidP="00CC567A">
      <w:pPr>
        <w:jc w:val="both"/>
        <w:rPr>
          <w:rFonts w:ascii="Times New Roman" w:hAnsi="Times New Roman"/>
          <w:sz w:val="28"/>
          <w:szCs w:val="28"/>
        </w:rPr>
      </w:pPr>
      <w:r w:rsidRPr="00650058">
        <w:rPr>
          <w:rFonts w:ascii="Times New Roman" w:hAnsi="Times New Roman"/>
          <w:color w:val="000000"/>
          <w:sz w:val="28"/>
          <w:szCs w:val="28"/>
        </w:rPr>
        <w:t xml:space="preserve">В дополнение к указанным выше направлениям необходимо развивать </w:t>
      </w:r>
      <w:proofErr w:type="spellStart"/>
      <w:r w:rsidRPr="00650058">
        <w:rPr>
          <w:rFonts w:ascii="Times New Roman" w:hAnsi="Times New Roman"/>
          <w:color w:val="000000"/>
          <w:sz w:val="28"/>
          <w:szCs w:val="28"/>
        </w:rPr>
        <w:t>метапредметное</w:t>
      </w:r>
      <w:proofErr w:type="spellEnd"/>
      <w:r w:rsidRPr="00650058">
        <w:rPr>
          <w:rFonts w:ascii="Times New Roman" w:hAnsi="Times New Roman"/>
          <w:color w:val="000000"/>
          <w:sz w:val="28"/>
          <w:szCs w:val="28"/>
        </w:rPr>
        <w:t xml:space="preserve"> взаимодействие, создавать площадки для такого взаимодействия, в том числе под руководством опытных наставников и практикующих специалистов, флагманом для взаимодействия может стать детский технопарк "Кванториум".</w:t>
      </w:r>
    </w:p>
    <w:p w:rsidR="00CC567A" w:rsidRPr="00650058" w:rsidRDefault="00CC567A">
      <w:pPr>
        <w:rPr>
          <w:rFonts w:ascii="Times New Roman" w:hAnsi="Times New Roman"/>
          <w:sz w:val="28"/>
          <w:szCs w:val="28"/>
        </w:rPr>
      </w:pPr>
    </w:p>
    <w:sectPr w:rsidR="00CC567A" w:rsidRPr="00650058" w:rsidSect="004D0B3B">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05" w:rsidRDefault="00505705">
      <w:pPr>
        <w:spacing w:after="0" w:line="240" w:lineRule="auto"/>
      </w:pPr>
      <w:r>
        <w:separator/>
      </w:r>
    </w:p>
  </w:endnote>
  <w:endnote w:type="continuationSeparator" w:id="0">
    <w:p w:rsidR="00505705" w:rsidRDefault="0050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AC" w:rsidRDefault="00B466CA">
    <w:pPr>
      <w:pStyle w:val="a7"/>
      <w:jc w:val="right"/>
    </w:pPr>
    <w:r>
      <w:fldChar w:fldCharType="begin"/>
    </w:r>
    <w:r>
      <w:instrText>PAGE   \* MERGEFORMAT</w:instrText>
    </w:r>
    <w:r>
      <w:fldChar w:fldCharType="separate"/>
    </w:r>
    <w:r w:rsidR="00620162">
      <w:rPr>
        <w:noProof/>
      </w:rPr>
      <w:t>5</w:t>
    </w:r>
    <w:r>
      <w:fldChar w:fldCharType="end"/>
    </w:r>
  </w:p>
  <w:p w:rsidR="00D742AC" w:rsidRDefault="006201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05" w:rsidRDefault="00505705">
      <w:pPr>
        <w:spacing w:after="0" w:line="240" w:lineRule="auto"/>
      </w:pPr>
      <w:r>
        <w:separator/>
      </w:r>
    </w:p>
  </w:footnote>
  <w:footnote w:type="continuationSeparator" w:id="0">
    <w:p w:rsidR="00505705" w:rsidRDefault="0050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C569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9725ED"/>
    <w:multiLevelType w:val="hybridMultilevel"/>
    <w:tmpl w:val="8842CADA"/>
    <w:lvl w:ilvl="0" w:tplc="1E12206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3A6639"/>
    <w:multiLevelType w:val="hybridMultilevel"/>
    <w:tmpl w:val="FB7A0506"/>
    <w:lvl w:ilvl="0" w:tplc="BC28D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E"/>
    <w:rsid w:val="00180706"/>
    <w:rsid w:val="001C083E"/>
    <w:rsid w:val="002B0185"/>
    <w:rsid w:val="004640D2"/>
    <w:rsid w:val="00505705"/>
    <w:rsid w:val="005B04F1"/>
    <w:rsid w:val="00620162"/>
    <w:rsid w:val="00650058"/>
    <w:rsid w:val="006D50A4"/>
    <w:rsid w:val="00864AAD"/>
    <w:rsid w:val="009936B6"/>
    <w:rsid w:val="009D58BE"/>
    <w:rsid w:val="009E2F86"/>
    <w:rsid w:val="00A43BEF"/>
    <w:rsid w:val="00B466CA"/>
    <w:rsid w:val="00BC1364"/>
    <w:rsid w:val="00CC567A"/>
    <w:rsid w:val="00D54DC2"/>
    <w:rsid w:val="00DC5C8A"/>
    <w:rsid w:val="00E41127"/>
    <w:rsid w:val="00E65C00"/>
    <w:rsid w:val="00E9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AA709-1533-44CE-934D-B7941965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ПАРАГРАФ,Абзац списка для документа,Нумерованый список"/>
    <w:basedOn w:val="a"/>
    <w:link w:val="a4"/>
    <w:uiPriority w:val="34"/>
    <w:qFormat/>
    <w:rsid w:val="00180706"/>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180706"/>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ConsPlusNormal">
    <w:name w:val="ConsPlusNormal"/>
    <w:rsid w:val="00180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unhideWhenUsed/>
    <w:rsid w:val="001807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706"/>
    <w:rPr>
      <w:rFonts w:ascii="Calibri" w:eastAsia="Calibri" w:hAnsi="Calibri" w:cs="Times New Roman"/>
    </w:rPr>
  </w:style>
  <w:style w:type="paragraph" w:customStyle="1" w:styleId="Default">
    <w:name w:val="Default"/>
    <w:qFormat/>
    <w:rsid w:val="001807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
    <w:name w:val="Основной шрифт абзаца1"/>
    <w:rsid w:val="0018070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180706"/>
    <w:rPr>
      <w:rFonts w:ascii="Times New Roman" w:eastAsia="Times New Roman" w:hAnsi="Times New Roman" w:cs="Times New Roman"/>
      <w:sz w:val="24"/>
      <w:szCs w:val="24"/>
      <w:lang w:val="x-none" w:eastAsia="x-none"/>
    </w:rPr>
  </w:style>
  <w:style w:type="table" w:styleId="a9">
    <w:name w:val="Table Grid"/>
    <w:basedOn w:val="a1"/>
    <w:uiPriority w:val="39"/>
    <w:rsid w:val="00BC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_Paragraph Знак,Multilevel para_II Знак,List Paragraph1 Знак,Абзац списка11 Знак,ПАРАГРАФ Знак,Абзац списка для документа Знак,Нумерованый список Знак"/>
    <w:link w:val="a3"/>
    <w:uiPriority w:val="99"/>
    <w:locked/>
    <w:rsid w:val="00BC1364"/>
    <w:rPr>
      <w:rFonts w:ascii="Calibri" w:eastAsia="Calibri" w:hAnsi="Calibri" w:cs="Times New Roman"/>
    </w:rPr>
  </w:style>
  <w:style w:type="character" w:styleId="aa">
    <w:name w:val="Hyperlink"/>
    <w:rsid w:val="00BC1364"/>
    <w:rPr>
      <w:color w:val="0000FF"/>
      <w:u w:val="single"/>
    </w:rPr>
  </w:style>
  <w:style w:type="paragraph" w:styleId="ab">
    <w:name w:val="No Spacing"/>
    <w:uiPriority w:val="1"/>
    <w:qFormat/>
    <w:rsid w:val="00B466C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E2F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9E2F86"/>
    <w:pPr>
      <w:widowControl w:val="0"/>
      <w:autoSpaceDE w:val="0"/>
      <w:autoSpaceDN w:val="0"/>
      <w:adjustRightInd w:val="0"/>
      <w:spacing w:after="0" w:line="459" w:lineRule="exact"/>
      <w:ind w:firstLine="734"/>
      <w:jc w:val="both"/>
    </w:pPr>
    <w:rPr>
      <w:rFonts w:ascii="Times New Roman" w:eastAsiaTheme="minorEastAsia" w:hAnsi="Times New Roman"/>
      <w:sz w:val="24"/>
      <w:szCs w:val="24"/>
      <w:lang w:eastAsia="ru-RU"/>
    </w:rPr>
  </w:style>
  <w:style w:type="character" w:customStyle="1" w:styleId="FontStyle49">
    <w:name w:val="Font Style49"/>
    <w:basedOn w:val="a0"/>
    <w:uiPriority w:val="99"/>
    <w:rsid w:val="009E2F86"/>
    <w:rPr>
      <w:rFonts w:ascii="Times New Roman" w:hAnsi="Times New Roman" w:cs="Times New Roman"/>
      <w:color w:val="000000"/>
      <w:sz w:val="26"/>
      <w:szCs w:val="26"/>
    </w:rPr>
  </w:style>
  <w:style w:type="character" w:styleId="ac">
    <w:name w:val="Strong"/>
    <w:basedOn w:val="a0"/>
    <w:uiPriority w:val="22"/>
    <w:qFormat/>
    <w:rsid w:val="009E2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9-kmc.xn--80aafey1amqq.xn--d1acj3b/"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latin typeface="Times New Roman" panose="02020603050405020304" pitchFamily="18" charset="0"/>
                <a:cs typeface="Times New Roman" panose="02020603050405020304" pitchFamily="18" charset="0"/>
              </a:rPr>
              <a:t>Доля детей</a:t>
            </a:r>
            <a:r>
              <a:rPr lang="ru-RU" sz="1400" b="0" baseline="0">
                <a:latin typeface="Times New Roman" panose="02020603050405020304" pitchFamily="18" charset="0"/>
                <a:cs typeface="Times New Roman" panose="02020603050405020304" pitchFamily="18" charset="0"/>
              </a:rPr>
              <a:t>, %</a:t>
            </a:r>
            <a:endParaRPr lang="ru-RU" sz="1400" b="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Столбец1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59.8</c:v>
                </c:pt>
                <c:pt idx="1">
                  <c:v>73</c:v>
                </c:pt>
                <c:pt idx="2">
                  <c:v>77.900000000000006</c:v>
                </c:pt>
              </c:numCache>
            </c:numRef>
          </c:val>
          <c:shape val="cylinder"/>
          <c:extLst>
            <c:ext xmlns:c16="http://schemas.microsoft.com/office/drawing/2014/chart" uri="{C3380CC4-5D6E-409C-BE32-E72D297353CC}">
              <c16:uniqueId val="{00000000-2583-443E-A2CB-A6B9F332E59D}"/>
            </c:ext>
          </c:extLst>
        </c:ser>
        <c:dLbls>
          <c:showLegendKey val="0"/>
          <c:showVal val="1"/>
          <c:showCatName val="0"/>
          <c:showSerName val="0"/>
          <c:showPercent val="0"/>
          <c:showBubbleSize val="0"/>
        </c:dLbls>
        <c:gapWidth val="92"/>
        <c:gapDepth val="219"/>
        <c:shape val="box"/>
        <c:axId val="412536936"/>
        <c:axId val="412537264"/>
        <c:axId val="424546520"/>
      </c:bar3DChart>
      <c:catAx>
        <c:axId val="41253693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12537264"/>
        <c:crosses val="autoZero"/>
        <c:auto val="1"/>
        <c:lblAlgn val="ctr"/>
        <c:lblOffset val="100"/>
        <c:noMultiLvlLbl val="0"/>
      </c:catAx>
      <c:valAx>
        <c:axId val="4125372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2536936"/>
        <c:crosses val="autoZero"/>
        <c:crossBetween val="between"/>
      </c:valAx>
      <c:serAx>
        <c:axId val="424546520"/>
        <c:scaling>
          <c:orientation val="minMax"/>
        </c:scaling>
        <c:delete val="1"/>
        <c:axPos val="b"/>
        <c:majorTickMark val="out"/>
        <c:minorTickMark val="none"/>
        <c:tickLblPos val="nextTo"/>
        <c:crossAx val="412537264"/>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latin typeface="Times New Roman" panose="02020603050405020304" pitchFamily="18" charset="0"/>
                <a:cs typeface="Times New Roman" panose="02020603050405020304" pitchFamily="18" charset="0"/>
              </a:rPr>
              <a:t>Численность педагогических работников</a:t>
            </a:r>
            <a:r>
              <a:rPr lang="ru-RU" sz="1400" b="0" baseline="0">
                <a:latin typeface="Times New Roman" panose="02020603050405020304" pitchFamily="18" charset="0"/>
                <a:cs typeface="Times New Roman" panose="02020603050405020304" pitchFamily="18" charset="0"/>
              </a:rPr>
              <a:t>, человек</a:t>
            </a:r>
            <a:endParaRPr lang="ru-RU" sz="1400" b="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Столбец1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487</c:v>
                </c:pt>
                <c:pt idx="1">
                  <c:v>494</c:v>
                </c:pt>
                <c:pt idx="2">
                  <c:v>522</c:v>
                </c:pt>
              </c:numCache>
            </c:numRef>
          </c:val>
          <c:shape val="cylinder"/>
          <c:extLst>
            <c:ext xmlns:c16="http://schemas.microsoft.com/office/drawing/2014/chart" uri="{C3380CC4-5D6E-409C-BE32-E72D297353CC}">
              <c16:uniqueId val="{00000000-E47C-43D4-BE03-4907905C0CE4}"/>
            </c:ext>
          </c:extLst>
        </c:ser>
        <c:dLbls>
          <c:showLegendKey val="0"/>
          <c:showVal val="1"/>
          <c:showCatName val="0"/>
          <c:showSerName val="0"/>
          <c:showPercent val="0"/>
          <c:showBubbleSize val="0"/>
        </c:dLbls>
        <c:gapWidth val="92"/>
        <c:gapDepth val="219"/>
        <c:shape val="box"/>
        <c:axId val="412536936"/>
        <c:axId val="412537264"/>
        <c:axId val="424546520"/>
      </c:bar3DChart>
      <c:catAx>
        <c:axId val="41253693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12537264"/>
        <c:crosses val="autoZero"/>
        <c:auto val="1"/>
        <c:lblAlgn val="ctr"/>
        <c:lblOffset val="100"/>
        <c:noMultiLvlLbl val="0"/>
      </c:catAx>
      <c:valAx>
        <c:axId val="4125372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2536936"/>
        <c:crosses val="autoZero"/>
        <c:crossBetween val="between"/>
      </c:valAx>
      <c:serAx>
        <c:axId val="424546520"/>
        <c:scaling>
          <c:orientation val="minMax"/>
        </c:scaling>
        <c:delete val="1"/>
        <c:axPos val="b"/>
        <c:majorTickMark val="out"/>
        <c:minorTickMark val="none"/>
        <c:tickLblPos val="nextTo"/>
        <c:crossAx val="412537264"/>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Мильгром Валентина Владимировна</dc:creator>
  <cp:keywords/>
  <dc:description/>
  <cp:lastModifiedBy>Мавричева Светлана Владимировна</cp:lastModifiedBy>
  <cp:revision>8</cp:revision>
  <dcterms:created xsi:type="dcterms:W3CDTF">2022-04-29T01:06:00Z</dcterms:created>
  <dcterms:modified xsi:type="dcterms:W3CDTF">2022-08-02T05:12:00Z</dcterms:modified>
</cp:coreProperties>
</file>